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480" w:after="480" w:line="288" w:lineRule="auto"/>
        <w:ind w:left="2" w:firstLine="4" w:firstLineChars="1"/>
        <w:jc w:val="center"/>
        <w:rPr>
          <w:rFonts w:ascii="Times New Roman" w:hAnsi="Times New Roman" w:cs="Times New Roman" w:eastAsiaTheme="majorEastAsia"/>
          <w:b/>
          <w:bCs/>
          <w:sz w:val="36"/>
          <w:szCs w:val="36"/>
        </w:rPr>
      </w:pPr>
      <w:r>
        <w:rPr>
          <w:rFonts w:ascii="Times New Roman" w:hAnsi="Times New Roman" w:cs="Times New Roman" w:eastAsiaTheme="majorEastAsia"/>
          <w:b/>
          <w:bCs/>
          <w:sz w:val="36"/>
          <w:szCs w:val="36"/>
        </w:rPr>
        <w:t>行业大模型应用服务平台POC测试需求</w:t>
      </w:r>
    </w:p>
    <w:p>
      <w:pPr>
        <w:spacing w:before="380" w:after="140" w:line="288" w:lineRule="auto"/>
        <w:jc w:val="left"/>
        <w:outlineLvl w:val="0"/>
        <w:rPr>
          <w:rFonts w:ascii="Times New Roman" w:hAnsi="Times New Roman" w:eastAsia="宋体" w:cs="Times New Roman"/>
          <w:b/>
          <w:bCs/>
          <w:sz w:val="30"/>
          <w:szCs w:val="30"/>
        </w:rPr>
      </w:pPr>
      <w:bookmarkStart w:id="0" w:name="heading_3"/>
      <w:r>
        <w:rPr>
          <w:rFonts w:ascii="Times New Roman" w:hAnsi="Times New Roman" w:eastAsia="宋体" w:cs="Times New Roman"/>
          <w:b/>
          <w:bCs/>
          <w:sz w:val="30"/>
          <w:szCs w:val="30"/>
        </w:rPr>
        <w:t>一、需求内容</w:t>
      </w:r>
      <w:bookmarkEnd w:id="0"/>
    </w:p>
    <w:p>
      <w:pPr>
        <w:spacing w:before="120" w:after="120" w:line="288" w:lineRule="auto"/>
        <w:ind w:firstLine="420"/>
        <w:jc w:val="left"/>
        <w:rPr>
          <w:rFonts w:ascii="Times New Roman" w:hAnsi="Times New Roman" w:eastAsia="宋体" w:cs="Times New Roman"/>
          <w:sz w:val="24"/>
          <w:szCs w:val="24"/>
        </w:rPr>
      </w:pPr>
      <w:r>
        <w:rPr>
          <w:rFonts w:ascii="Times New Roman" w:hAnsi="Times New Roman" w:eastAsia="宋体" w:cs="Times New Roman"/>
          <w:sz w:val="24"/>
          <w:szCs w:val="24"/>
        </w:rPr>
        <w:t>行业大模型应用服务平台共分为功能性需求和非功能性需求两类需求内容。</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1245"/>
        <w:gridCol w:w="1427"/>
        <w:gridCol w:w="56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1245" w:type="dxa"/>
            <w:tcMar>
              <w:top w:w="60" w:type="dxa"/>
              <w:left w:w="120" w:type="dxa"/>
              <w:bottom w:w="30" w:type="dxa"/>
              <w:right w:w="120" w:type="dxa"/>
            </w:tcMar>
          </w:tcPr>
          <w:p>
            <w:pPr>
              <w:spacing w:before="120" w:after="120" w:line="288" w:lineRule="auto"/>
              <w:jc w:val="left"/>
              <w:rPr>
                <w:rFonts w:ascii="Times New Roman" w:hAnsi="Times New Roman" w:eastAsia="宋体" w:cs="Times New Roman"/>
                <w:b/>
                <w:sz w:val="24"/>
                <w:szCs w:val="24"/>
              </w:rPr>
            </w:pPr>
            <w:r>
              <w:rPr>
                <w:rFonts w:ascii="Times New Roman" w:hAnsi="Times New Roman" w:eastAsia="宋体" w:cs="Times New Roman"/>
                <w:b/>
                <w:sz w:val="24"/>
                <w:szCs w:val="24"/>
              </w:rPr>
              <w:t>类别</w:t>
            </w:r>
          </w:p>
        </w:tc>
        <w:tc>
          <w:tcPr>
            <w:tcW w:w="1427" w:type="dxa"/>
            <w:tcMar>
              <w:top w:w="60" w:type="dxa"/>
              <w:left w:w="120" w:type="dxa"/>
              <w:bottom w:w="30" w:type="dxa"/>
              <w:right w:w="120" w:type="dxa"/>
            </w:tcMar>
          </w:tcPr>
          <w:p>
            <w:pPr>
              <w:spacing w:before="120" w:after="120" w:line="288" w:lineRule="auto"/>
              <w:jc w:val="left"/>
              <w:rPr>
                <w:rFonts w:ascii="Times New Roman" w:hAnsi="Times New Roman" w:eastAsia="宋体" w:cs="Times New Roman"/>
                <w:b/>
                <w:sz w:val="24"/>
                <w:szCs w:val="24"/>
              </w:rPr>
            </w:pPr>
            <w:r>
              <w:rPr>
                <w:rFonts w:ascii="Times New Roman" w:hAnsi="Times New Roman" w:eastAsia="宋体" w:cs="Times New Roman"/>
                <w:b/>
                <w:sz w:val="24"/>
                <w:szCs w:val="24"/>
              </w:rPr>
              <w:t>功能</w:t>
            </w:r>
          </w:p>
        </w:tc>
        <w:tc>
          <w:tcPr>
            <w:tcW w:w="5608" w:type="dxa"/>
            <w:tcMar>
              <w:top w:w="60" w:type="dxa"/>
              <w:left w:w="120" w:type="dxa"/>
              <w:bottom w:w="30" w:type="dxa"/>
              <w:right w:w="120" w:type="dxa"/>
            </w:tcMar>
          </w:tcPr>
          <w:p>
            <w:pPr>
              <w:spacing w:before="120" w:after="120" w:line="288" w:lineRule="auto"/>
              <w:jc w:val="left"/>
              <w:rPr>
                <w:rFonts w:ascii="Times New Roman" w:hAnsi="Times New Roman" w:eastAsia="宋体" w:cs="Times New Roman"/>
                <w:b/>
                <w:sz w:val="24"/>
                <w:szCs w:val="24"/>
              </w:rPr>
            </w:pPr>
            <w:r>
              <w:rPr>
                <w:rFonts w:ascii="Times New Roman" w:hAnsi="Times New Roman" w:eastAsia="宋体" w:cs="Times New Roman"/>
                <w:b/>
                <w:sz w:val="24"/>
                <w:szCs w:val="24"/>
              </w:rPr>
              <w:t>内容概述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1245" w:type="dxa"/>
            <w:vMerge w:val="restart"/>
            <w:tcMar>
              <w:top w:w="60" w:type="dxa"/>
              <w:left w:w="120" w:type="dxa"/>
              <w:bottom w:w="30" w:type="dxa"/>
              <w:right w:w="120" w:type="dxa"/>
            </w:tcMar>
          </w:tcPr>
          <w:p>
            <w:pPr>
              <w:spacing w:before="120" w:after="120" w:line="288"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功能性</w:t>
            </w:r>
          </w:p>
          <w:p>
            <w:pPr>
              <w:spacing w:before="120" w:after="120" w:line="288"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需求</w:t>
            </w:r>
          </w:p>
          <w:p>
            <w:pPr>
              <w:spacing w:before="120" w:after="120" w:line="288" w:lineRule="auto"/>
              <w:jc w:val="left"/>
              <w:rPr>
                <w:rFonts w:ascii="Times New Roman" w:hAnsi="Times New Roman" w:eastAsia="宋体" w:cs="Times New Roman"/>
                <w:sz w:val="24"/>
                <w:szCs w:val="24"/>
              </w:rPr>
            </w:pPr>
          </w:p>
        </w:tc>
        <w:tc>
          <w:tcPr>
            <w:tcW w:w="1427" w:type="dxa"/>
            <w:tcMar>
              <w:top w:w="60" w:type="dxa"/>
              <w:left w:w="120" w:type="dxa"/>
              <w:bottom w:w="30" w:type="dxa"/>
              <w:right w:w="120" w:type="dxa"/>
            </w:tcMar>
          </w:tcPr>
          <w:p>
            <w:pPr>
              <w:spacing w:before="120" w:after="120" w:line="288"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推理服务</w:t>
            </w:r>
          </w:p>
        </w:tc>
        <w:tc>
          <w:tcPr>
            <w:tcW w:w="5608" w:type="dxa"/>
            <w:tcMar>
              <w:top w:w="60" w:type="dxa"/>
              <w:left w:w="120" w:type="dxa"/>
              <w:bottom w:w="30" w:type="dxa"/>
              <w:right w:w="120" w:type="dxa"/>
            </w:tcMar>
          </w:tcPr>
          <w:p>
            <w:pPr>
              <w:spacing w:before="120" w:after="120" w:line="288" w:lineRule="auto"/>
              <w:jc w:val="left"/>
              <w:rPr>
                <w:rFonts w:ascii="Times New Roman" w:hAnsi="Times New Roman" w:eastAsia="宋体" w:cs="Times New Roman"/>
                <w:sz w:val="24"/>
                <w:szCs w:val="24"/>
              </w:rPr>
            </w:pPr>
            <w:r>
              <w:rPr>
                <w:rFonts w:hint="eastAsia" w:ascii="Times New Roman" w:hAnsi="Times New Roman" w:eastAsia="宋体" w:cs="Times New Roman"/>
                <w:sz w:val="24"/>
                <w:szCs w:val="24"/>
              </w:rPr>
              <w:t>能够对接第三方推理服务接口，为平台用户、平台应用等</w:t>
            </w:r>
            <w:r>
              <w:rPr>
                <w:rFonts w:ascii="Times New Roman" w:hAnsi="Times New Roman" w:eastAsia="宋体" w:cs="Times New Roman"/>
                <w:sz w:val="24"/>
                <w:szCs w:val="24"/>
              </w:rPr>
              <w:t>提供多租户计量的大模型推理服务</w:t>
            </w:r>
            <w:r>
              <w:rPr>
                <w:rFonts w:hint="eastAsia" w:ascii="Times New Roman" w:hAnsi="Times New Roman" w:eastAsia="宋体" w:cs="Times New Roman"/>
                <w:sz w:val="24"/>
                <w:szCs w:val="24"/>
              </w:rPr>
              <w:t>；支持推理服务的各类鉴权管理和功能扩展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1245" w:type="dxa"/>
            <w:vMerge w:val="continue"/>
            <w:tcMar>
              <w:top w:w="60" w:type="dxa"/>
              <w:left w:w="120" w:type="dxa"/>
              <w:bottom w:w="30" w:type="dxa"/>
              <w:right w:w="120" w:type="dxa"/>
            </w:tcMar>
          </w:tcPr>
          <w:p>
            <w:pPr>
              <w:spacing w:before="120" w:after="120" w:line="288" w:lineRule="auto"/>
              <w:jc w:val="left"/>
              <w:rPr>
                <w:rFonts w:ascii="Times New Roman" w:hAnsi="Times New Roman" w:eastAsia="宋体" w:cs="Times New Roman"/>
                <w:sz w:val="24"/>
                <w:szCs w:val="24"/>
              </w:rPr>
            </w:pPr>
          </w:p>
        </w:tc>
        <w:tc>
          <w:tcPr>
            <w:tcW w:w="1427" w:type="dxa"/>
            <w:tcMar>
              <w:top w:w="60" w:type="dxa"/>
              <w:left w:w="120" w:type="dxa"/>
              <w:bottom w:w="30" w:type="dxa"/>
              <w:right w:w="120" w:type="dxa"/>
            </w:tcMar>
          </w:tcPr>
          <w:p>
            <w:pPr>
              <w:spacing w:before="120" w:after="120" w:line="288"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应用构建</w:t>
            </w:r>
          </w:p>
        </w:tc>
        <w:tc>
          <w:tcPr>
            <w:tcW w:w="5608" w:type="dxa"/>
            <w:tcMar>
              <w:top w:w="60" w:type="dxa"/>
              <w:left w:w="120" w:type="dxa"/>
              <w:bottom w:w="30" w:type="dxa"/>
              <w:right w:w="120" w:type="dxa"/>
            </w:tcMar>
          </w:tcPr>
          <w:p>
            <w:pPr>
              <w:spacing w:before="120" w:after="120" w:line="288"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支持用户创建和发布应用，提供向量数据库和大模型应用工具和提示工程服务等零代码/低代码应用构建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1245" w:type="dxa"/>
            <w:vMerge w:val="continue"/>
            <w:tcMar>
              <w:top w:w="60" w:type="dxa"/>
              <w:left w:w="120" w:type="dxa"/>
              <w:bottom w:w="30" w:type="dxa"/>
              <w:right w:w="120" w:type="dxa"/>
            </w:tcMar>
          </w:tcPr>
          <w:p>
            <w:pPr>
              <w:spacing w:before="120" w:after="120" w:line="288" w:lineRule="auto"/>
              <w:jc w:val="left"/>
              <w:rPr>
                <w:rFonts w:ascii="Times New Roman" w:hAnsi="Times New Roman" w:eastAsia="宋体" w:cs="Times New Roman"/>
                <w:sz w:val="24"/>
                <w:szCs w:val="24"/>
              </w:rPr>
            </w:pPr>
          </w:p>
        </w:tc>
        <w:tc>
          <w:tcPr>
            <w:tcW w:w="1427" w:type="dxa"/>
            <w:tcMar>
              <w:top w:w="60" w:type="dxa"/>
              <w:left w:w="120" w:type="dxa"/>
              <w:bottom w:w="30" w:type="dxa"/>
              <w:right w:w="120" w:type="dxa"/>
            </w:tcMar>
          </w:tcPr>
          <w:p>
            <w:pPr>
              <w:spacing w:before="120" w:after="120" w:line="288"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基础管控</w:t>
            </w:r>
          </w:p>
        </w:tc>
        <w:tc>
          <w:tcPr>
            <w:tcW w:w="5608" w:type="dxa"/>
            <w:tcMar>
              <w:top w:w="60" w:type="dxa"/>
              <w:left w:w="120" w:type="dxa"/>
              <w:bottom w:w="30" w:type="dxa"/>
              <w:right w:w="120" w:type="dxa"/>
            </w:tcMar>
          </w:tcPr>
          <w:p>
            <w:pPr>
              <w:spacing w:before="120" w:after="120" w:line="288"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多租户分层计量体系和资源分配管理；平台运维事件监控查询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1245" w:type="dxa"/>
            <w:vMerge w:val="restart"/>
            <w:tcMar>
              <w:top w:w="60" w:type="dxa"/>
              <w:left w:w="120" w:type="dxa"/>
              <w:bottom w:w="30" w:type="dxa"/>
              <w:right w:w="120" w:type="dxa"/>
            </w:tcMar>
          </w:tcPr>
          <w:p>
            <w:pPr>
              <w:spacing w:before="120" w:after="120" w:line="288" w:lineRule="auto"/>
              <w:ind w:left="240" w:hanging="240" w:hangingChars="100"/>
              <w:jc w:val="left"/>
              <w:rPr>
                <w:rFonts w:ascii="Times New Roman" w:hAnsi="Times New Roman" w:eastAsia="宋体" w:cs="Times New Roman"/>
                <w:sz w:val="24"/>
                <w:szCs w:val="24"/>
              </w:rPr>
            </w:pPr>
            <w:r>
              <w:rPr>
                <w:rFonts w:ascii="Times New Roman" w:hAnsi="Times New Roman" w:eastAsia="宋体" w:cs="Times New Roman"/>
                <w:sz w:val="24"/>
                <w:szCs w:val="24"/>
              </w:rPr>
              <w:t>非功能性需求</w:t>
            </w:r>
          </w:p>
        </w:tc>
        <w:tc>
          <w:tcPr>
            <w:tcW w:w="1427" w:type="dxa"/>
            <w:tcMar>
              <w:top w:w="60" w:type="dxa"/>
              <w:left w:w="120" w:type="dxa"/>
              <w:bottom w:w="30" w:type="dxa"/>
              <w:right w:w="120" w:type="dxa"/>
            </w:tcMar>
          </w:tcPr>
          <w:p>
            <w:pPr>
              <w:spacing w:before="120" w:after="120" w:line="288"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安全性</w:t>
            </w:r>
          </w:p>
        </w:tc>
        <w:tc>
          <w:tcPr>
            <w:tcW w:w="5608" w:type="dxa"/>
            <w:tcMar>
              <w:top w:w="60" w:type="dxa"/>
              <w:left w:w="120" w:type="dxa"/>
              <w:bottom w:w="30" w:type="dxa"/>
              <w:right w:w="120" w:type="dxa"/>
            </w:tcMar>
          </w:tcPr>
          <w:p>
            <w:pPr>
              <w:spacing w:before="120" w:after="120" w:line="288" w:lineRule="auto"/>
              <w:jc w:val="left"/>
              <w:rPr>
                <w:rFonts w:ascii="Times New Roman" w:hAnsi="Times New Roman" w:eastAsia="宋体" w:cs="Times New Roman"/>
                <w:sz w:val="24"/>
                <w:szCs w:val="24"/>
              </w:rPr>
            </w:pPr>
            <w:r>
              <w:rPr>
                <w:rFonts w:hint="eastAsia" w:ascii="Times New Roman" w:hAnsi="Times New Roman" w:eastAsia="宋体" w:cs="Times New Roman"/>
                <w:sz w:val="24"/>
                <w:szCs w:val="24"/>
              </w:rPr>
              <w:t>内容安全</w:t>
            </w:r>
            <w:r>
              <w:rPr>
                <w:rFonts w:ascii="Times New Roman" w:hAnsi="Times New Roman" w:eastAsia="宋体" w:cs="Times New Roman"/>
                <w:sz w:val="24"/>
                <w:szCs w:val="24"/>
              </w:rPr>
              <w:t>干预机制</w:t>
            </w:r>
            <w:r>
              <w:rPr>
                <w:rFonts w:hint="eastAsia" w:ascii="Times New Roman" w:hAnsi="Times New Roman" w:eastAsia="宋体" w:cs="Times New Roman"/>
                <w:sz w:val="24"/>
                <w:szCs w:val="24"/>
                <w:lang w:eastAsia="zh-CN"/>
              </w:rPr>
              <w:t>、</w:t>
            </w:r>
            <w:r>
              <w:rPr>
                <w:rFonts w:ascii="Times New Roman" w:hAnsi="Times New Roman" w:eastAsia="宋体" w:cs="Times New Roman"/>
                <w:sz w:val="24"/>
                <w:szCs w:val="24"/>
              </w:rPr>
              <w:t>模型输入输出监测</w:t>
            </w:r>
            <w:r>
              <w:rPr>
                <w:rFonts w:hint="eastAsia" w:ascii="Times New Roman" w:hAnsi="Times New Roman" w:eastAsia="宋体" w:cs="Times New Roman"/>
                <w:sz w:val="24"/>
                <w:szCs w:val="24"/>
                <w:lang w:eastAsia="zh-CN"/>
              </w:rPr>
              <w:t>和</w:t>
            </w:r>
            <w:r>
              <w:rPr>
                <w:rFonts w:ascii="Times New Roman" w:hAnsi="Times New Roman" w:eastAsia="宋体" w:cs="Times New Roman"/>
                <w:sz w:val="24"/>
                <w:szCs w:val="24"/>
              </w:rPr>
              <w:t>用户操作日志审计等安全测试；</w:t>
            </w:r>
            <w:r>
              <w:rPr>
                <w:rFonts w:hint="eastAsia" w:ascii="Times New Roman" w:hAnsi="Times New Roman" w:eastAsia="宋体" w:cs="Times New Roman"/>
                <w:sz w:val="24"/>
                <w:szCs w:val="24"/>
              </w:rPr>
              <w:t>国产化自主可控要求；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1245" w:type="dxa"/>
            <w:vMerge w:val="continue"/>
            <w:tcMar>
              <w:top w:w="60" w:type="dxa"/>
              <w:left w:w="120" w:type="dxa"/>
              <w:bottom w:w="30" w:type="dxa"/>
              <w:right w:w="120" w:type="dxa"/>
            </w:tcMar>
          </w:tcPr>
          <w:p>
            <w:pPr>
              <w:spacing w:before="120" w:after="120" w:line="288" w:lineRule="auto"/>
              <w:jc w:val="left"/>
              <w:rPr>
                <w:rFonts w:ascii="Times New Roman" w:hAnsi="Times New Roman" w:eastAsia="宋体" w:cs="Times New Roman"/>
                <w:sz w:val="24"/>
                <w:szCs w:val="24"/>
              </w:rPr>
            </w:pPr>
          </w:p>
        </w:tc>
        <w:tc>
          <w:tcPr>
            <w:tcW w:w="1427" w:type="dxa"/>
            <w:tcMar>
              <w:top w:w="60" w:type="dxa"/>
              <w:left w:w="120" w:type="dxa"/>
              <w:bottom w:w="30" w:type="dxa"/>
              <w:right w:w="120" w:type="dxa"/>
            </w:tcMar>
          </w:tcPr>
          <w:p>
            <w:pPr>
              <w:spacing w:before="120" w:after="120" w:line="288"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平台性能</w:t>
            </w:r>
          </w:p>
        </w:tc>
        <w:tc>
          <w:tcPr>
            <w:tcW w:w="5608" w:type="dxa"/>
            <w:tcMar>
              <w:top w:w="60" w:type="dxa"/>
              <w:left w:w="120" w:type="dxa"/>
              <w:bottom w:w="30" w:type="dxa"/>
              <w:right w:w="120" w:type="dxa"/>
            </w:tcMar>
          </w:tcPr>
          <w:p>
            <w:pPr>
              <w:spacing w:before="120" w:after="120" w:line="288"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服务推理和应用构建测试性能评估</w:t>
            </w:r>
          </w:p>
        </w:tc>
      </w:tr>
    </w:tbl>
    <w:p>
      <w:pPr>
        <w:spacing w:before="380" w:after="140" w:line="288" w:lineRule="auto"/>
        <w:jc w:val="left"/>
        <w:outlineLvl w:val="0"/>
        <w:rPr>
          <w:rFonts w:ascii="Times New Roman" w:hAnsi="Times New Roman" w:eastAsia="宋体" w:cs="Times New Roman"/>
          <w:b/>
          <w:bCs/>
          <w:sz w:val="30"/>
          <w:szCs w:val="30"/>
        </w:rPr>
      </w:pPr>
      <w:bookmarkStart w:id="1" w:name="heading_4"/>
      <w:r>
        <w:rPr>
          <w:rFonts w:hint="eastAsia" w:ascii="Times New Roman" w:hAnsi="Times New Roman" w:eastAsia="宋体" w:cs="Times New Roman"/>
          <w:b/>
          <w:bCs/>
          <w:sz w:val="30"/>
          <w:szCs w:val="30"/>
        </w:rPr>
        <w:t>1</w:t>
      </w:r>
      <w:r>
        <w:rPr>
          <w:rFonts w:ascii="Times New Roman" w:hAnsi="Times New Roman" w:eastAsia="宋体" w:cs="Times New Roman"/>
          <w:b/>
          <w:bCs/>
          <w:sz w:val="30"/>
          <w:szCs w:val="30"/>
        </w:rPr>
        <w:t>. 功能性需求</w:t>
      </w:r>
      <w:bookmarkEnd w:id="1"/>
    </w:p>
    <w:p>
      <w:pPr>
        <w:spacing w:before="380" w:after="140" w:line="288" w:lineRule="auto"/>
        <w:jc w:val="left"/>
        <w:outlineLvl w:val="0"/>
        <w:rPr>
          <w:rFonts w:ascii="Times New Roman" w:hAnsi="Times New Roman" w:eastAsia="宋体" w:cs="Times New Roman"/>
          <w:b/>
          <w:bCs/>
          <w:sz w:val="30"/>
          <w:szCs w:val="30"/>
        </w:rPr>
      </w:pPr>
      <w:bookmarkStart w:id="2" w:name="heading_5"/>
      <w:r>
        <w:rPr>
          <w:rFonts w:hint="eastAsia" w:ascii="Times New Roman" w:hAnsi="Times New Roman" w:eastAsia="宋体" w:cs="Times New Roman"/>
          <w:b/>
          <w:bCs/>
          <w:sz w:val="30"/>
          <w:szCs w:val="30"/>
        </w:rPr>
        <w:t>1</w:t>
      </w:r>
      <w:r>
        <w:rPr>
          <w:rFonts w:ascii="Times New Roman" w:hAnsi="Times New Roman" w:eastAsia="宋体" w:cs="Times New Roman"/>
          <w:b/>
          <w:bCs/>
          <w:sz w:val="30"/>
          <w:szCs w:val="30"/>
        </w:rPr>
        <w:t>.1 推理服务</w:t>
      </w:r>
      <w:bookmarkEnd w:id="2"/>
    </w:p>
    <w:p>
      <w:pPr>
        <w:spacing w:before="120" w:after="120" w:line="288"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1）服务接入</w:t>
      </w:r>
    </w:p>
    <w:p>
      <w:pPr>
        <w:spacing w:before="120" w:after="120" w:line="288"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平台支持对接使用第三方提供的大模型推理API，可为</w:t>
      </w:r>
      <w:r>
        <w:rPr>
          <w:rFonts w:hint="eastAsia" w:ascii="Times New Roman" w:hAnsi="Times New Roman" w:eastAsia="宋体" w:cs="Times New Roman"/>
          <w:sz w:val="24"/>
          <w:szCs w:val="24"/>
        </w:rPr>
        <w:t>平台</w:t>
      </w:r>
      <w:r>
        <w:rPr>
          <w:rFonts w:ascii="Times New Roman" w:hAnsi="Times New Roman" w:eastAsia="宋体" w:cs="Times New Roman"/>
          <w:sz w:val="24"/>
          <w:szCs w:val="24"/>
        </w:rPr>
        <w:t>各租户</w:t>
      </w:r>
      <w:r>
        <w:rPr>
          <w:rFonts w:hint="eastAsia" w:ascii="Times New Roman" w:hAnsi="Times New Roman" w:eastAsia="宋体" w:cs="Times New Roman"/>
          <w:sz w:val="24"/>
          <w:szCs w:val="24"/>
        </w:rPr>
        <w:t>各应用</w:t>
      </w:r>
      <w:r>
        <w:rPr>
          <w:rFonts w:ascii="Times New Roman" w:hAnsi="Times New Roman" w:eastAsia="宋体" w:cs="Times New Roman"/>
          <w:sz w:val="24"/>
          <w:szCs w:val="24"/>
        </w:rPr>
        <w:t>的推理服务设置基于AK/SK等服务鉴权管理</w:t>
      </w:r>
      <w:r>
        <w:rPr>
          <w:rFonts w:hint="eastAsia" w:ascii="Times New Roman" w:hAnsi="Times New Roman" w:eastAsia="宋体" w:cs="Times New Roman"/>
          <w:sz w:val="24"/>
          <w:szCs w:val="24"/>
        </w:rPr>
        <w:t>、QPS等流量管理等功能</w:t>
      </w:r>
      <w:r>
        <w:rPr>
          <w:rFonts w:ascii="Times New Roman" w:hAnsi="Times New Roman" w:eastAsia="宋体" w:cs="Times New Roman"/>
          <w:sz w:val="24"/>
          <w:szCs w:val="24"/>
        </w:rPr>
        <w:t>。</w:t>
      </w:r>
    </w:p>
    <w:p>
      <w:pPr>
        <w:spacing w:before="120" w:after="120" w:line="288" w:lineRule="auto"/>
        <w:jc w:val="left"/>
        <w:rPr>
          <w:rFonts w:ascii="Times New Roman" w:hAnsi="Times New Roman" w:eastAsia="宋体" w:cs="Times New Roman"/>
          <w:sz w:val="24"/>
          <w:szCs w:val="24"/>
        </w:rPr>
      </w:pPr>
      <w:r>
        <w:rPr>
          <w:rFonts w:hint="eastAsia" w:ascii="Times New Roman" w:hAnsi="Times New Roman" w:eastAsia="宋体" w:cs="Times New Roman"/>
          <w:sz w:val="24"/>
          <w:szCs w:val="24"/>
        </w:rPr>
        <w:t>2</w:t>
      </w:r>
      <w:r>
        <w:rPr>
          <w:rFonts w:ascii="Times New Roman" w:hAnsi="Times New Roman" w:eastAsia="宋体" w:cs="Times New Roman"/>
          <w:sz w:val="24"/>
          <w:szCs w:val="24"/>
        </w:rPr>
        <w:t>）服务测试</w:t>
      </w:r>
    </w:p>
    <w:p>
      <w:pPr>
        <w:spacing w:before="120" w:after="120" w:line="288"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服务发布后支持可视化对话式交互，支持在前端界面测试模型效果，支持引用提示模版进行快捷对话。</w:t>
      </w:r>
    </w:p>
    <w:p>
      <w:pPr>
        <w:spacing w:before="120" w:after="120" w:line="288" w:lineRule="auto"/>
        <w:jc w:val="left"/>
      </w:pPr>
    </w:p>
    <w:p>
      <w:pPr>
        <w:spacing w:before="380" w:after="140" w:line="288" w:lineRule="auto"/>
        <w:jc w:val="left"/>
        <w:outlineLvl w:val="0"/>
        <w:rPr>
          <w:rFonts w:ascii="Times New Roman" w:hAnsi="Times New Roman" w:eastAsia="宋体" w:cs="Times New Roman"/>
          <w:b/>
          <w:bCs/>
          <w:sz w:val="30"/>
          <w:szCs w:val="30"/>
        </w:rPr>
      </w:pPr>
      <w:bookmarkStart w:id="3" w:name="heading_6"/>
      <w:r>
        <w:rPr>
          <w:rFonts w:hint="eastAsia" w:ascii="Times New Roman" w:hAnsi="Times New Roman" w:eastAsia="宋体" w:cs="Times New Roman"/>
          <w:b/>
          <w:bCs/>
          <w:sz w:val="30"/>
          <w:szCs w:val="30"/>
        </w:rPr>
        <w:t>1</w:t>
      </w:r>
      <w:r>
        <w:rPr>
          <w:rFonts w:ascii="Times New Roman" w:hAnsi="Times New Roman" w:eastAsia="宋体" w:cs="Times New Roman"/>
          <w:b/>
          <w:bCs/>
          <w:sz w:val="30"/>
          <w:szCs w:val="30"/>
        </w:rPr>
        <w:t>.2 应用构建</w:t>
      </w:r>
      <w:bookmarkEnd w:id="3"/>
    </w:p>
    <w:p>
      <w:pPr>
        <w:spacing w:before="120" w:after="120" w:line="288"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1）零代码方式</w:t>
      </w:r>
    </w:p>
    <w:p>
      <w:pPr>
        <w:spacing w:before="120" w:after="120" w:line="288"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向应用构建者提供灵活的大模型应用编排方式，提供类似GPTs的智能体构建中心，用户可集成知识库、插件和提示</w:t>
      </w:r>
      <w:r>
        <w:rPr>
          <w:rFonts w:hint="eastAsia" w:ascii="Times New Roman" w:hAnsi="Times New Roman" w:eastAsia="宋体" w:cs="Times New Roman"/>
          <w:sz w:val="24"/>
          <w:szCs w:val="24"/>
          <w:lang w:eastAsia="zh-CN"/>
        </w:rPr>
        <w:t>词</w:t>
      </w:r>
      <w:r>
        <w:rPr>
          <w:rFonts w:ascii="Times New Roman" w:hAnsi="Times New Roman" w:eastAsia="宋体" w:cs="Times New Roman"/>
          <w:sz w:val="24"/>
          <w:szCs w:val="24"/>
        </w:rPr>
        <w:t>集成构建具有证券期货行业特点的大模型应用，创建后的应用可以通过平台权限体系设置成全局或授权范围内租户可见。</w:t>
      </w:r>
    </w:p>
    <w:p>
      <w:pPr>
        <w:spacing w:before="120" w:after="120" w:line="288"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2）低代码方式</w:t>
      </w:r>
    </w:p>
    <w:p>
      <w:pPr>
        <w:spacing w:before="120" w:after="120" w:line="288"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平台应提供类Langchain应用链的拖拉拽</w:t>
      </w:r>
      <w:r>
        <w:rPr>
          <w:rFonts w:hint="eastAsia" w:ascii="Times New Roman" w:hAnsi="Times New Roman" w:eastAsia="宋体" w:cs="Times New Roman"/>
          <w:sz w:val="24"/>
          <w:szCs w:val="24"/>
          <w:lang w:eastAsia="zh-CN"/>
        </w:rPr>
        <w:t>式样的</w:t>
      </w:r>
      <w:r>
        <w:rPr>
          <w:rFonts w:ascii="Times New Roman" w:hAnsi="Times New Roman" w:eastAsia="宋体" w:cs="Times New Roman"/>
          <w:sz w:val="24"/>
          <w:szCs w:val="24"/>
        </w:rPr>
        <w:t>低代码或纯代码方式支持用户快速构建类智能体Agent应用，支持在可视化界面对模块进行参数设置和流程搭建应用调试上线。</w:t>
      </w:r>
    </w:p>
    <w:p>
      <w:pPr>
        <w:spacing w:before="120" w:after="120" w:line="288"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3）检索增强能力</w:t>
      </w:r>
    </w:p>
    <w:p>
      <w:pPr>
        <w:spacing w:before="120" w:after="120" w:line="288"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支持基于检索增强生成(RAG)框架为应用挂载外部知识库，实现外部知识和记忆补充。需提供租户自建应用关联知识库必要的算法能力和基础组件，提供高效可扩展的向量化文档嵌入存储模块。支持自动化按照文档语义或结构进行分割，或者按照用户定义的规则和参数进行分割，满足不同文档和业务需求的精细化处理。</w:t>
      </w:r>
    </w:p>
    <w:p>
      <w:pPr>
        <w:spacing w:before="120" w:after="120" w:line="288"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4）提示工程</w:t>
      </w:r>
    </w:p>
    <w:p>
      <w:pPr>
        <w:spacing w:before="120" w:after="120" w:line="288"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支持提示工程管理和优化，支持用户创建提示模板，可定义模板名称、标签、模板内容，并支持提供优化等能力；平台应支持对模板进行增加、删除、修改和查询操作；</w:t>
      </w:r>
    </w:p>
    <w:p>
      <w:pPr>
        <w:spacing w:before="120" w:after="120" w:line="288"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5）应用发布共享</w:t>
      </w:r>
    </w:p>
    <w:p>
      <w:pPr>
        <w:spacing w:before="120" w:after="120" w:line="288"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支持将调试成功的大模型应用链或智能体发布成应用，发布过程可配置应用名称、开场白、引导语和插件能力配置。可按照平台租户所属用户组权限，在应用发布前可设置可见范围，经审核后可选择发布到共享空间。</w:t>
      </w:r>
    </w:p>
    <w:p>
      <w:pPr>
        <w:spacing w:before="120" w:after="120" w:line="288" w:lineRule="auto"/>
        <w:jc w:val="left"/>
      </w:pPr>
    </w:p>
    <w:p>
      <w:pPr>
        <w:spacing w:before="380" w:after="140" w:line="288" w:lineRule="auto"/>
        <w:jc w:val="left"/>
        <w:outlineLvl w:val="0"/>
        <w:rPr>
          <w:rFonts w:ascii="Times New Roman" w:hAnsi="Times New Roman" w:eastAsia="宋体" w:cs="Times New Roman"/>
          <w:b/>
          <w:bCs/>
          <w:sz w:val="30"/>
          <w:szCs w:val="30"/>
        </w:rPr>
      </w:pPr>
      <w:bookmarkStart w:id="4" w:name="heading_7"/>
      <w:r>
        <w:rPr>
          <w:rFonts w:hint="eastAsia" w:ascii="Times New Roman" w:hAnsi="Times New Roman" w:eastAsia="宋体" w:cs="Times New Roman"/>
          <w:b/>
          <w:bCs/>
          <w:sz w:val="30"/>
          <w:szCs w:val="30"/>
        </w:rPr>
        <w:t>1</w:t>
      </w:r>
      <w:r>
        <w:rPr>
          <w:rFonts w:ascii="Times New Roman" w:hAnsi="Times New Roman" w:eastAsia="宋体" w:cs="Times New Roman"/>
          <w:b/>
          <w:bCs/>
          <w:sz w:val="30"/>
          <w:szCs w:val="30"/>
        </w:rPr>
        <w:t>.3 基础管控</w:t>
      </w:r>
      <w:bookmarkEnd w:id="4"/>
    </w:p>
    <w:p>
      <w:pPr>
        <w:spacing w:before="120" w:after="120" w:line="288"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1）权限管理</w:t>
      </w:r>
    </w:p>
    <w:p>
      <w:pPr>
        <w:spacing w:before="120" w:after="120" w:line="288"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租户权限：平台应支持多组织层级管理，各组织间数据和资源相互隔离。支持为用户授权当前组织管理员。支持查看并管理组织详情，包括组织概览信息，成员列表，组织资源等信息。如平台超级管理员可以新建组织，并按照机构申请资源进行审批和分配，对不同用户/角色进行授权；组织管理员可以审计当前组织成员操作，审批应用发布和查看当前资源计量情况。普通用户可上传自有数据，使用不同的应用开发方式构建大模型应用。</w:t>
      </w:r>
    </w:p>
    <w:p>
      <w:pPr>
        <w:spacing w:before="120" w:after="120" w:line="288"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服务权限：平台具备大模型推理服务的APIKey的管理，允许用户通过申请APIKey提供给应用开发使用，根据平台权限设置，服务可设置可见范围。</w:t>
      </w:r>
    </w:p>
    <w:p>
      <w:pPr>
        <w:spacing w:before="120" w:after="120" w:line="288"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2）计量管理</w:t>
      </w:r>
    </w:p>
    <w:p>
      <w:pPr>
        <w:spacing w:before="120" w:after="120" w:line="288"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平台应设计灵活多级的服务计量模块。包含但不限于以下计量方式：</w:t>
      </w:r>
    </w:p>
    <w:p>
      <w:pPr>
        <w:spacing w:before="120" w:after="120" w:line="288"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按服务统计：平台可以按照不同服务来统计</w:t>
      </w:r>
      <w:r>
        <w:rPr>
          <w:rFonts w:hint="eastAsia" w:ascii="Times New Roman" w:hAnsi="Times New Roman" w:eastAsia="宋体" w:cs="Times New Roman"/>
          <w:sz w:val="24"/>
          <w:szCs w:val="24"/>
          <w:lang w:eastAsia="zh-CN"/>
        </w:rPr>
        <w:t>租户使用</w:t>
      </w:r>
      <w:r>
        <w:rPr>
          <w:rFonts w:ascii="Times New Roman" w:hAnsi="Times New Roman" w:eastAsia="宋体" w:cs="Times New Roman"/>
          <w:sz w:val="24"/>
          <w:szCs w:val="24"/>
        </w:rPr>
        <w:t>情况。包括各服务的调用数量、调用频率</w:t>
      </w:r>
      <w:r>
        <w:rPr>
          <w:rFonts w:hint="eastAsia" w:ascii="Times New Roman" w:hAnsi="Times New Roman" w:eastAsia="宋体" w:cs="Times New Roman"/>
          <w:sz w:val="24"/>
          <w:szCs w:val="24"/>
          <w:lang w:eastAsia="zh-CN"/>
        </w:rPr>
        <w:t>和</w:t>
      </w:r>
      <w:r>
        <w:rPr>
          <w:rFonts w:ascii="Times New Roman" w:hAnsi="Times New Roman" w:eastAsia="宋体" w:cs="Times New Roman"/>
          <w:sz w:val="24"/>
          <w:szCs w:val="24"/>
        </w:rPr>
        <w:t>响应时间等指标。</w:t>
      </w:r>
    </w:p>
    <w:p>
      <w:pPr>
        <w:spacing w:before="120" w:after="120" w:line="288"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按租户统计：平台可以按照不同租户来统计服务调用情况。包括各租户的服务调用量、调用频率、异常情况</w:t>
      </w:r>
      <w:r>
        <w:rPr>
          <w:rFonts w:hint="eastAsia" w:ascii="Times New Roman" w:hAnsi="Times New Roman" w:eastAsia="宋体" w:cs="Times New Roman"/>
          <w:sz w:val="24"/>
          <w:szCs w:val="24"/>
          <w:lang w:eastAsia="zh-CN"/>
        </w:rPr>
        <w:t>和</w:t>
      </w:r>
      <w:r>
        <w:rPr>
          <w:rFonts w:ascii="Times New Roman" w:hAnsi="Times New Roman" w:eastAsia="宋体" w:cs="Times New Roman"/>
          <w:sz w:val="24"/>
          <w:szCs w:val="24"/>
        </w:rPr>
        <w:t>调用量等指标。</w:t>
      </w:r>
    </w:p>
    <w:p>
      <w:pPr>
        <w:spacing w:before="120" w:after="120" w:line="288"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3）运维管理</w:t>
      </w:r>
    </w:p>
    <w:p>
      <w:pPr>
        <w:spacing w:before="120" w:after="120" w:line="288"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平台支持通过前端页面查看已部署模型服务的节点日志、容器事件，支持按单一服务维度监控并显示服务性能指标和调用记录。</w:t>
      </w:r>
    </w:p>
    <w:p>
      <w:pPr>
        <w:spacing w:before="120" w:after="120" w:line="288" w:lineRule="auto"/>
        <w:jc w:val="left"/>
      </w:pPr>
    </w:p>
    <w:p>
      <w:pPr>
        <w:spacing w:before="380" w:after="140" w:line="288" w:lineRule="auto"/>
        <w:jc w:val="left"/>
        <w:outlineLvl w:val="0"/>
        <w:rPr>
          <w:rFonts w:cs="Times New Roman" w:asciiTheme="majorEastAsia" w:hAnsiTheme="majorEastAsia" w:eastAsiaTheme="majorEastAsia"/>
          <w:b/>
          <w:bCs/>
          <w:sz w:val="30"/>
          <w:szCs w:val="30"/>
        </w:rPr>
      </w:pPr>
      <w:bookmarkStart w:id="5" w:name="heading_8"/>
      <w:r>
        <w:rPr>
          <w:rFonts w:hint="eastAsia" w:cs="Times New Roman" w:asciiTheme="majorEastAsia" w:hAnsiTheme="majorEastAsia" w:eastAsiaTheme="majorEastAsia"/>
          <w:b/>
          <w:bCs/>
          <w:sz w:val="30"/>
          <w:szCs w:val="30"/>
        </w:rPr>
        <w:t>2</w:t>
      </w:r>
      <w:r>
        <w:rPr>
          <w:rFonts w:cs="Times New Roman" w:asciiTheme="majorEastAsia" w:hAnsiTheme="majorEastAsia" w:eastAsiaTheme="majorEastAsia"/>
          <w:b/>
          <w:bCs/>
          <w:sz w:val="30"/>
          <w:szCs w:val="30"/>
        </w:rPr>
        <w:t>. 非功能性需求</w:t>
      </w:r>
      <w:bookmarkEnd w:id="5"/>
    </w:p>
    <w:p>
      <w:pPr>
        <w:spacing w:before="380" w:after="140" w:line="288" w:lineRule="auto"/>
        <w:jc w:val="left"/>
        <w:outlineLvl w:val="0"/>
        <w:rPr>
          <w:rFonts w:ascii="Times New Roman" w:hAnsi="Times New Roman" w:eastAsia="宋体" w:cs="Times New Roman"/>
          <w:b/>
          <w:bCs/>
          <w:sz w:val="30"/>
          <w:szCs w:val="30"/>
        </w:rPr>
      </w:pPr>
      <w:bookmarkStart w:id="6" w:name="heading_9"/>
      <w:r>
        <w:rPr>
          <w:rFonts w:ascii="Times New Roman" w:hAnsi="Times New Roman" w:eastAsia="宋体" w:cs="Times New Roman"/>
          <w:b/>
          <w:bCs/>
          <w:sz w:val="30"/>
          <w:szCs w:val="30"/>
        </w:rPr>
        <w:t>2.1 安全性</w:t>
      </w:r>
      <w:bookmarkEnd w:id="6"/>
    </w:p>
    <w:p>
      <w:pPr>
        <w:spacing w:before="120" w:after="120" w:line="288"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1）数据安全</w:t>
      </w:r>
    </w:p>
    <w:p>
      <w:pPr>
        <w:spacing w:before="120" w:after="120" w:line="288"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数据安全应至少包含数据库安全、用户数据</w:t>
      </w:r>
      <w:r>
        <w:rPr>
          <w:rFonts w:hint="eastAsia" w:ascii="Times New Roman" w:hAnsi="Times New Roman" w:eastAsia="宋体" w:cs="Times New Roman"/>
          <w:sz w:val="24"/>
          <w:szCs w:val="24"/>
          <w:lang w:eastAsia="zh-CN"/>
        </w:rPr>
        <w:t>和</w:t>
      </w:r>
      <w:r>
        <w:rPr>
          <w:rFonts w:ascii="Times New Roman" w:hAnsi="Times New Roman" w:eastAsia="宋体" w:cs="Times New Roman"/>
          <w:sz w:val="24"/>
          <w:szCs w:val="24"/>
        </w:rPr>
        <w:t>应用数据安全三个方面，如用户间构建应用的数据不会被互相查询，应用数据构建应保证高可用避免单点故障；数据库系统</w:t>
      </w:r>
      <w:r>
        <w:rPr>
          <w:rFonts w:hint="eastAsia" w:ascii="Times New Roman" w:hAnsi="Times New Roman" w:eastAsia="宋体" w:cs="Times New Roman"/>
          <w:sz w:val="24"/>
          <w:szCs w:val="24"/>
          <w:lang w:eastAsia="zh-CN"/>
        </w:rPr>
        <w:t>应保证</w:t>
      </w:r>
      <w:r>
        <w:rPr>
          <w:rFonts w:ascii="Times New Roman" w:hAnsi="Times New Roman" w:eastAsia="宋体" w:cs="Times New Roman"/>
          <w:sz w:val="24"/>
          <w:szCs w:val="24"/>
        </w:rPr>
        <w:t>安全性、数据完整性、</w:t>
      </w:r>
      <w:r>
        <w:rPr>
          <w:rFonts w:hint="eastAsia" w:ascii="Times New Roman" w:hAnsi="Times New Roman" w:eastAsia="宋体" w:cs="Times New Roman"/>
          <w:sz w:val="24"/>
          <w:szCs w:val="24"/>
          <w:lang w:eastAsia="zh-CN"/>
        </w:rPr>
        <w:t>具备</w:t>
      </w:r>
      <w:r>
        <w:rPr>
          <w:rFonts w:ascii="Times New Roman" w:hAnsi="Times New Roman" w:eastAsia="宋体" w:cs="Times New Roman"/>
          <w:sz w:val="24"/>
          <w:szCs w:val="24"/>
        </w:rPr>
        <w:t>数据备份与恢复策略。</w:t>
      </w:r>
    </w:p>
    <w:p>
      <w:pPr>
        <w:spacing w:before="120" w:after="120" w:line="288"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2）干预机制</w:t>
      </w:r>
    </w:p>
    <w:p>
      <w:pPr>
        <w:spacing w:before="120" w:after="120" w:line="288"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支持输入输出安全检测模块，支持配置安全检测范围及安全反馈控制策略。若用户输入触发了安全限制，则拦截大模型推理服务生成回答。提供多种安全手段防止平台渗透性攻击（如敏感词检测、提示注入检测、提示泄露检测、脏话检测等）等非法内容输入。平台应内置不限于人工添加规则/词表等多种手段监测大模型输入输出，并可进行全局干预。</w:t>
      </w:r>
    </w:p>
    <w:p>
      <w:pPr>
        <w:spacing w:before="120" w:after="120" w:line="288"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3）安全审计</w:t>
      </w:r>
    </w:p>
    <w:p>
      <w:pPr>
        <w:spacing w:before="120" w:after="120" w:line="288"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可对用户的访问、调用、应用发布等行为进行操作审计，管理员可在审计模块中进行记录追踪。</w:t>
      </w:r>
    </w:p>
    <w:p>
      <w:pPr>
        <w:spacing w:before="120" w:after="120" w:line="288" w:lineRule="auto"/>
        <w:jc w:val="left"/>
        <w:rPr>
          <w:rFonts w:hint="eastAsia" w:ascii="Times New Roman" w:hAnsi="Times New Roman" w:eastAsia="宋体" w:cs="Times New Roman"/>
          <w:sz w:val="24"/>
          <w:szCs w:val="24"/>
          <w:lang w:eastAsia="zh-CN"/>
        </w:rPr>
      </w:pPr>
      <w:r>
        <w:rPr>
          <w:rFonts w:ascii="Times New Roman" w:hAnsi="Times New Roman" w:eastAsia="宋体" w:cs="Times New Roman"/>
          <w:sz w:val="24"/>
          <w:szCs w:val="24"/>
        </w:rPr>
        <w:t>4）用户</w:t>
      </w:r>
      <w:r>
        <w:rPr>
          <w:rFonts w:hint="eastAsia" w:ascii="Times New Roman" w:hAnsi="Times New Roman" w:eastAsia="宋体" w:cs="Times New Roman"/>
          <w:sz w:val="24"/>
          <w:szCs w:val="24"/>
          <w:lang w:eastAsia="zh-CN"/>
        </w:rPr>
        <w:t>登录</w:t>
      </w:r>
    </w:p>
    <w:p>
      <w:pPr>
        <w:spacing w:before="120" w:after="120" w:line="288"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平台应提供有效的身份信息进行验证以确保其身份的合法性，支持和第三方用户权限体系打通，并对不同用户进行访问控制和会话管理，对平台用户进行访问控制、会话管理</w:t>
      </w:r>
      <w:r>
        <w:rPr>
          <w:rFonts w:hint="eastAsia" w:ascii="Times New Roman" w:hAnsi="Times New Roman" w:eastAsia="宋体" w:cs="Times New Roman"/>
          <w:sz w:val="24"/>
          <w:szCs w:val="24"/>
          <w:lang w:eastAsia="zh-CN"/>
        </w:rPr>
        <w:t>。</w:t>
      </w:r>
      <w:r>
        <w:rPr>
          <w:rFonts w:ascii="Times New Roman" w:hAnsi="Times New Roman" w:eastAsia="宋体" w:cs="Times New Roman"/>
          <w:sz w:val="24"/>
          <w:szCs w:val="24"/>
        </w:rPr>
        <w:t>用户与系统之间的通信过程中，应采用安全的协议和加密技术。</w:t>
      </w:r>
    </w:p>
    <w:p>
      <w:pPr>
        <w:spacing w:before="120" w:after="120" w:line="288"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5）自主可控要求</w:t>
      </w:r>
    </w:p>
    <w:p>
      <w:pPr>
        <w:spacing w:before="120" w:after="120" w:line="288"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平台应支持兼容x86的主流品牌及国产化CPU部署，应支持国产操作系统和国产化存储数据库，平台整体应支持k8s容器化部署。</w:t>
      </w:r>
    </w:p>
    <w:p>
      <w:pPr>
        <w:spacing w:before="120" w:after="120" w:line="288" w:lineRule="auto"/>
        <w:ind w:firstLine="420"/>
        <w:jc w:val="left"/>
      </w:pPr>
    </w:p>
    <w:p>
      <w:pPr>
        <w:spacing w:before="380" w:after="140" w:line="288" w:lineRule="auto"/>
        <w:jc w:val="left"/>
        <w:outlineLvl w:val="0"/>
        <w:rPr>
          <w:rFonts w:cs="Times New Roman" w:asciiTheme="majorEastAsia" w:hAnsiTheme="majorEastAsia" w:eastAsiaTheme="majorEastAsia"/>
          <w:b/>
          <w:bCs/>
          <w:sz w:val="30"/>
          <w:szCs w:val="30"/>
        </w:rPr>
      </w:pPr>
      <w:bookmarkStart w:id="7" w:name="heading_10"/>
      <w:r>
        <w:rPr>
          <w:rFonts w:hint="eastAsia" w:cs="Times New Roman" w:asciiTheme="majorEastAsia" w:hAnsiTheme="majorEastAsia" w:eastAsiaTheme="majorEastAsia"/>
          <w:b/>
          <w:bCs/>
          <w:sz w:val="30"/>
          <w:szCs w:val="30"/>
        </w:rPr>
        <w:t>2</w:t>
      </w:r>
      <w:r>
        <w:rPr>
          <w:rFonts w:cs="Times New Roman" w:asciiTheme="majorEastAsia" w:hAnsiTheme="majorEastAsia" w:eastAsiaTheme="majorEastAsia"/>
          <w:b/>
          <w:bCs/>
          <w:sz w:val="30"/>
          <w:szCs w:val="30"/>
        </w:rPr>
        <w:t>.2 性能测试</w:t>
      </w:r>
      <w:bookmarkEnd w:id="7"/>
    </w:p>
    <w:p>
      <w:pPr>
        <w:spacing w:before="120" w:after="120" w:line="288"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1）推理性能测试</w:t>
      </w:r>
    </w:p>
    <w:p>
      <w:pPr>
        <w:spacing w:before="120" w:after="120" w:line="288"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在指定部署资源规模下，使用服务压力测试工具对推理服务的平台端到端时间进行测试评估。</w:t>
      </w:r>
    </w:p>
    <w:p>
      <w:pPr>
        <w:spacing w:before="120" w:after="120" w:line="288"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2）知识库应用测试</w:t>
      </w:r>
    </w:p>
    <w:p>
      <w:pPr>
        <w:spacing w:before="120" w:after="120" w:line="288"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在指定部署资源和知识库条目，采用平台应用构建工具完成知识库上传、数据切分到服务发布等一系列整体流程的查询效果和性能测试，包括但不限于查询及入库性能、查询准确率和召回率等。</w:t>
      </w:r>
    </w:p>
    <w:p>
      <w:pPr>
        <w:spacing w:before="120" w:after="120" w:line="288" w:lineRule="auto"/>
        <w:jc w:val="left"/>
      </w:pPr>
    </w:p>
    <w:p>
      <w:pPr>
        <w:spacing w:before="120" w:after="120" w:line="288" w:lineRule="auto"/>
        <w:jc w:val="left"/>
      </w:pPr>
      <w:bookmarkStart w:id="8" w:name="_GoBack"/>
      <w:bookmarkEnd w:id="8"/>
    </w:p>
    <w:sectPr>
      <w:headerReference r:id="rId5" w:type="first"/>
      <w:footerReference r:id="rId8" w:type="first"/>
      <w:headerReference r:id="rId3" w:type="default"/>
      <w:footerReference r:id="rId6" w:type="default"/>
      <w:headerReference r:id="rId4" w:type="even"/>
      <w:footerReference r:id="rId7" w:type="even"/>
      <w:pgSz w:w="11905" w:h="16840"/>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DB4106"/>
    <w:multiLevelType w:val="multilevel"/>
    <w:tmpl w:val="02DB4106"/>
    <w:lvl w:ilvl="0" w:tentative="0">
      <w:start w:val="1"/>
      <w:numFmt w:val="chineseCountingThousand"/>
      <w:pStyle w:val="2"/>
      <w:suff w:val="space"/>
      <w:lvlText w:val="%1、"/>
      <w:lvlJc w:val="left"/>
      <w:pPr>
        <w:ind w:left="0" w:firstLine="0"/>
      </w:pPr>
      <w:rPr>
        <w:rFonts w:hint="eastAsia"/>
      </w:rPr>
    </w:lvl>
    <w:lvl w:ilvl="1" w:tentative="0">
      <w:start w:val="1"/>
      <w:numFmt w:val="decimal"/>
      <w:pStyle w:val="3"/>
      <w:suff w:val="space"/>
      <w:lvlText w:val="%2."/>
      <w:lvlJc w:val="left"/>
      <w:pPr>
        <w:ind w:left="0" w:firstLine="0"/>
      </w:pPr>
      <w:rPr>
        <w:rFonts w:hint="eastAsia"/>
      </w:rPr>
    </w:lvl>
    <w:lvl w:ilvl="2" w:tentative="0">
      <w:start w:val="1"/>
      <w:numFmt w:val="decimal"/>
      <w:lvlText w:val="%3)"/>
      <w:lvlJc w:val="left"/>
      <w:pPr>
        <w:ind w:left="737"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compat>
    <w:useFELayout/>
    <w:compatSetting w:name="compatibilityMode" w:uri="http://schemas.microsoft.com/office/word" w:val="12"/>
  </w:compat>
  <w:docVars>
    <w:docVar w:name="commondata" w:val="eyJoZGlkIjoiZmU4N2I1NWI0N2IxNmFhNzU2MGIzYzBiYjEzN2NlNmMifQ=="/>
  </w:docVars>
  <w:rsids>
    <w:rsidRoot w:val="00D43198"/>
    <w:rsid w:val="00101C56"/>
    <w:rsid w:val="0036376C"/>
    <w:rsid w:val="004C4907"/>
    <w:rsid w:val="004E2C5D"/>
    <w:rsid w:val="006074CB"/>
    <w:rsid w:val="00705DA5"/>
    <w:rsid w:val="007460CB"/>
    <w:rsid w:val="00987F77"/>
    <w:rsid w:val="00A73621"/>
    <w:rsid w:val="00AA1C7F"/>
    <w:rsid w:val="00B93D78"/>
    <w:rsid w:val="00BD6F0D"/>
    <w:rsid w:val="00CC7C47"/>
    <w:rsid w:val="00D43198"/>
    <w:rsid w:val="04B2316F"/>
    <w:rsid w:val="09855EF7"/>
    <w:rsid w:val="0FF07B38"/>
    <w:rsid w:val="11C70687"/>
    <w:rsid w:val="120964BA"/>
    <w:rsid w:val="14CA62B3"/>
    <w:rsid w:val="156C00D8"/>
    <w:rsid w:val="159259E1"/>
    <w:rsid w:val="185E4830"/>
    <w:rsid w:val="254C4AC2"/>
    <w:rsid w:val="25501C64"/>
    <w:rsid w:val="25957FAD"/>
    <w:rsid w:val="2EF064BE"/>
    <w:rsid w:val="2F5E78CC"/>
    <w:rsid w:val="301F4114"/>
    <w:rsid w:val="36F154C9"/>
    <w:rsid w:val="384046B6"/>
    <w:rsid w:val="423A10C5"/>
    <w:rsid w:val="449E2DE4"/>
    <w:rsid w:val="456D6663"/>
    <w:rsid w:val="46863243"/>
    <w:rsid w:val="49351245"/>
    <w:rsid w:val="4A1F71D6"/>
    <w:rsid w:val="4A82232D"/>
    <w:rsid w:val="4B6E5076"/>
    <w:rsid w:val="4E002DD8"/>
    <w:rsid w:val="53E52D77"/>
    <w:rsid w:val="55DC6F81"/>
    <w:rsid w:val="56861C91"/>
    <w:rsid w:val="569B550A"/>
    <w:rsid w:val="596F2552"/>
    <w:rsid w:val="5D8E6CC9"/>
    <w:rsid w:val="625E6E3F"/>
    <w:rsid w:val="6A6B466F"/>
    <w:rsid w:val="6C8726F4"/>
    <w:rsid w:val="73911635"/>
    <w:rsid w:val="789E3C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0"/>
    <w:qFormat/>
    <w:uiPriority w:val="0"/>
    <w:pPr>
      <w:numPr>
        <w:ilvl w:val="0"/>
        <w:numId w:val="1"/>
      </w:numPr>
      <w:spacing w:line="300" w:lineRule="auto"/>
      <w:outlineLvl w:val="0"/>
    </w:pPr>
    <w:rPr>
      <w:rFonts w:ascii="宋体" w:hAnsi="宋体" w:eastAsia="宋体" w:cs="Times New Roman"/>
      <w:b/>
      <w:bCs/>
      <w:sz w:val="30"/>
      <w:szCs w:val="30"/>
    </w:rPr>
  </w:style>
  <w:style w:type="paragraph" w:styleId="3">
    <w:name w:val="heading 2"/>
    <w:basedOn w:val="2"/>
    <w:next w:val="1"/>
    <w:link w:val="11"/>
    <w:unhideWhenUsed/>
    <w:qFormat/>
    <w:uiPriority w:val="9"/>
    <w:pPr>
      <w:numPr>
        <w:ilvl w:val="1"/>
      </w:numPr>
      <w:outlineLvl w:val="1"/>
    </w:pPr>
    <w:rPr>
      <w:sz w:val="28"/>
      <w:szCs w:val="28"/>
    </w:rPr>
  </w:style>
  <w:style w:type="paragraph" w:styleId="4">
    <w:name w:val="heading 3"/>
    <w:basedOn w:val="3"/>
    <w:next w:val="1"/>
    <w:link w:val="12"/>
    <w:unhideWhenUsed/>
    <w:qFormat/>
    <w:uiPriority w:val="9"/>
    <w:pPr>
      <w:outlineLvl w:val="2"/>
    </w:pPr>
    <w:rPr>
      <w:b w:val="0"/>
      <w:bCs w:val="0"/>
      <w:sz w:val="24"/>
      <w:szCs w:val="2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tabs>
        <w:tab w:val="center" w:pos="4153"/>
        <w:tab w:val="right" w:pos="8306"/>
      </w:tabs>
      <w:snapToGrid w:val="0"/>
      <w:jc w:val="center"/>
    </w:pPr>
    <w:rPr>
      <w:sz w:val="18"/>
      <w:szCs w:val="18"/>
    </w:rPr>
  </w:style>
  <w:style w:type="paragraph" w:styleId="9">
    <w:name w:val="List Paragraph"/>
    <w:basedOn w:val="1"/>
    <w:qFormat/>
    <w:uiPriority w:val="34"/>
    <w:pPr>
      <w:ind w:firstLine="420" w:firstLineChars="200"/>
    </w:pPr>
  </w:style>
  <w:style w:type="character" w:customStyle="1" w:styleId="10">
    <w:name w:val="标题 1 Char"/>
    <w:basedOn w:val="8"/>
    <w:link w:val="2"/>
    <w:qFormat/>
    <w:uiPriority w:val="0"/>
    <w:rPr>
      <w:rFonts w:ascii="宋体" w:hAnsi="宋体" w:eastAsia="宋体" w:cs="Times New Roman"/>
      <w:b/>
      <w:bCs/>
      <w:sz w:val="30"/>
      <w:szCs w:val="30"/>
    </w:rPr>
  </w:style>
  <w:style w:type="character" w:customStyle="1" w:styleId="11">
    <w:name w:val="标题 2 Char"/>
    <w:basedOn w:val="8"/>
    <w:link w:val="3"/>
    <w:qFormat/>
    <w:uiPriority w:val="9"/>
    <w:rPr>
      <w:rFonts w:ascii="宋体" w:hAnsi="宋体" w:eastAsia="宋体" w:cs="Times New Roman"/>
      <w:b/>
      <w:bCs/>
      <w:sz w:val="28"/>
      <w:szCs w:val="28"/>
    </w:rPr>
  </w:style>
  <w:style w:type="character" w:customStyle="1" w:styleId="12">
    <w:name w:val="标题 3 Char"/>
    <w:basedOn w:val="8"/>
    <w:link w:val="4"/>
    <w:qFormat/>
    <w:uiPriority w:val="9"/>
    <w:rPr>
      <w:rFonts w:ascii="宋体" w:hAnsi="宋体" w:eastAsia="宋体" w:cs="Times New Roman"/>
      <w:sz w:val="24"/>
      <w:szCs w:val="24"/>
    </w:rPr>
  </w:style>
  <w:style w:type="character" w:customStyle="1" w:styleId="13">
    <w:name w:val="页眉 Char"/>
    <w:basedOn w:val="8"/>
    <w:link w:val="6"/>
    <w:qFormat/>
    <w:uiPriority w:val="99"/>
    <w:rPr>
      <w:sz w:val="18"/>
      <w:szCs w:val="18"/>
    </w:rPr>
  </w:style>
  <w:style w:type="character" w:customStyle="1" w:styleId="14">
    <w:name w:val="页脚 Char"/>
    <w:basedOn w:val="8"/>
    <w:link w:val="5"/>
    <w:qFormat/>
    <w:uiPriority w:val="99"/>
    <w:rPr>
      <w:sz w:val="18"/>
      <w:szCs w:val="18"/>
    </w:rPr>
  </w:style>
  <w:style w:type="paragraph" w:customStyle="1" w:styleId="15">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C88B88-C888-40A4-8D4D-9CA5DF22DB23}">
  <ds:schemaRefs/>
</ds:datastoreItem>
</file>

<file path=docProps/app.xml><?xml version="1.0" encoding="utf-8"?>
<Properties xmlns="http://schemas.openxmlformats.org/officeDocument/2006/extended-properties" xmlns:vt="http://schemas.openxmlformats.org/officeDocument/2006/docPropsVTypes">
  <Template>Normal</Template>
  <Pages>4</Pages>
  <Words>2228</Words>
  <Characters>2295</Characters>
  <Lines>17</Lines>
  <Paragraphs>4</Paragraphs>
  <TotalTime>9</TotalTime>
  <ScaleCrop>false</ScaleCrop>
  <LinksUpToDate>false</LinksUpToDate>
  <CharactersWithSpaces>2302</CharactersWithSpaces>
  <Application>WPS Office_11.1.0.15319_F1E327BC-269C-435d-A152-05C5408002CA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2024-05-24T05:54:00Z</dcterms:created>
  <dc:creator>Apache POI</dc:creator>
  <cp:lastModifiedBy>linyf</cp:lastModifiedBy>
  <dcterms:modified xsi:type="dcterms:W3CDTF">2024-06-06T03:13:03Z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2052-11.1.0.15319</vt:lpwstr>
  </property>
  <property fmtid="{D5CDD505-2E9C-101B-9397-08002B2CF9AE}" pid="3" name="ICV">
    <vt:lpwstr>DBB5DC87F1DC4DCC802CC13B5B29B909_12</vt:lpwstr>
  </property>
</Properties>
</file>