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85A" w:rsidRDefault="0061585A">
      <w:pPr>
        <w:spacing w:line="200" w:lineRule="exact"/>
        <w:rPr>
          <w:sz w:val="24"/>
          <w:szCs w:val="24"/>
        </w:rPr>
      </w:pPr>
      <w:bookmarkStart w:id="0" w:name="page1"/>
      <w:bookmarkEnd w:id="0"/>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200" w:lineRule="exact"/>
        <w:rPr>
          <w:sz w:val="24"/>
          <w:szCs w:val="24"/>
        </w:rPr>
      </w:pPr>
    </w:p>
    <w:p w:rsidR="0061585A" w:rsidRDefault="0061585A">
      <w:pPr>
        <w:spacing w:line="372" w:lineRule="exact"/>
        <w:rPr>
          <w:sz w:val="24"/>
          <w:szCs w:val="24"/>
        </w:rPr>
      </w:pPr>
    </w:p>
    <w:p w:rsidR="0061585A" w:rsidRDefault="00DD205A">
      <w:pPr>
        <w:spacing w:line="746" w:lineRule="exact"/>
        <w:ind w:left="580" w:right="586"/>
        <w:jc w:val="center"/>
        <w:rPr>
          <w:rFonts w:ascii="宋体" w:eastAsia="宋体" w:hAnsi="宋体" w:cs="宋体"/>
          <w:b/>
          <w:bCs/>
          <w:sz w:val="56"/>
          <w:szCs w:val="56"/>
        </w:rPr>
      </w:pPr>
      <w:r>
        <w:rPr>
          <w:rFonts w:ascii="宋体" w:eastAsia="宋体" w:hAnsi="宋体" w:cs="宋体"/>
          <w:b/>
          <w:bCs/>
          <w:sz w:val="56"/>
          <w:szCs w:val="56"/>
        </w:rPr>
        <w:t>中国金融期货交易所行情授权申请指引（延时行情）</w:t>
      </w: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left="580" w:right="586"/>
        <w:jc w:val="center"/>
        <w:rPr>
          <w:rFonts w:ascii="宋体" w:eastAsia="宋体" w:hAnsi="宋体" w:cs="宋体"/>
          <w:b/>
          <w:bCs/>
          <w:sz w:val="56"/>
          <w:szCs w:val="56"/>
        </w:rPr>
      </w:pPr>
    </w:p>
    <w:p w:rsidR="0061585A" w:rsidRDefault="0061585A">
      <w:pPr>
        <w:spacing w:line="746" w:lineRule="exact"/>
        <w:ind w:right="586"/>
        <w:jc w:val="both"/>
        <w:rPr>
          <w:rFonts w:ascii="宋体" w:eastAsia="宋体" w:hAnsi="宋体" w:cs="宋体"/>
          <w:b/>
          <w:bCs/>
          <w:sz w:val="56"/>
          <w:szCs w:val="56"/>
        </w:rPr>
      </w:pPr>
    </w:p>
    <w:p w:rsidR="0061585A" w:rsidRDefault="0061585A">
      <w:pPr>
        <w:rPr>
          <w:sz w:val="24"/>
          <w:szCs w:val="24"/>
        </w:rPr>
      </w:pPr>
    </w:p>
    <w:p w:rsidR="0061585A" w:rsidRDefault="0061585A">
      <w:pPr>
        <w:sectPr w:rsidR="0061585A">
          <w:headerReference w:type="default" r:id="rId8"/>
          <w:pgSz w:w="11900" w:h="16838"/>
          <w:pgMar w:top="1440" w:right="1440" w:bottom="1440" w:left="1440" w:header="680" w:footer="0" w:gutter="0"/>
          <w:cols w:space="720" w:equalWidth="0">
            <w:col w:w="9026"/>
          </w:cols>
        </w:sectPr>
      </w:pPr>
    </w:p>
    <w:p w:rsidR="0061585A" w:rsidRDefault="0061585A">
      <w:pPr>
        <w:rPr>
          <w:sz w:val="20"/>
          <w:szCs w:val="20"/>
        </w:rPr>
      </w:pPr>
      <w:bookmarkStart w:id="1" w:name="page2"/>
      <w:bookmarkEnd w:id="1"/>
    </w:p>
    <w:p w:rsidR="0061585A" w:rsidRDefault="00DD205A">
      <w:pPr>
        <w:spacing w:line="360" w:lineRule="auto"/>
        <w:ind w:left="340" w:right="340" w:firstLineChars="200" w:firstLine="480"/>
        <w:rPr>
          <w:sz w:val="20"/>
          <w:szCs w:val="20"/>
        </w:rPr>
      </w:pPr>
      <w:r>
        <w:rPr>
          <w:rFonts w:eastAsia="Times New Roman"/>
          <w:sz w:val="24"/>
          <w:szCs w:val="24"/>
        </w:rPr>
        <w:t xml:space="preserve">2014 </w:t>
      </w:r>
      <w:r>
        <w:rPr>
          <w:rFonts w:ascii="宋体" w:eastAsia="宋体" w:hAnsi="宋体" w:cs="宋体"/>
          <w:sz w:val="24"/>
          <w:szCs w:val="24"/>
        </w:rPr>
        <w:t>年</w:t>
      </w:r>
      <w:r>
        <w:rPr>
          <w:rFonts w:eastAsia="Times New Roman"/>
          <w:sz w:val="24"/>
          <w:szCs w:val="24"/>
        </w:rPr>
        <w:t xml:space="preserve"> 10 </w:t>
      </w:r>
      <w:r>
        <w:rPr>
          <w:rFonts w:ascii="宋体" w:eastAsia="宋体" w:hAnsi="宋体" w:cs="宋体"/>
          <w:sz w:val="24"/>
          <w:szCs w:val="24"/>
        </w:rPr>
        <w:t>月，中国金融期货交易所（以下简称</w:t>
      </w:r>
      <w:r>
        <w:rPr>
          <w:rFonts w:ascii="Arial" w:eastAsia="Arial" w:hAnsi="Arial" w:cs="Arial"/>
          <w:sz w:val="24"/>
          <w:szCs w:val="24"/>
        </w:rPr>
        <w:t>“</w:t>
      </w:r>
      <w:r>
        <w:rPr>
          <w:rFonts w:ascii="宋体" w:eastAsia="宋体" w:hAnsi="宋体" w:cs="宋体"/>
          <w:sz w:val="24"/>
          <w:szCs w:val="24"/>
        </w:rPr>
        <w:t>中金所</w:t>
      </w:r>
      <w:r>
        <w:rPr>
          <w:rFonts w:ascii="Arial" w:eastAsia="Arial" w:hAnsi="Arial" w:cs="Arial"/>
          <w:sz w:val="24"/>
          <w:szCs w:val="24"/>
        </w:rPr>
        <w:t>”</w:t>
      </w:r>
      <w:r>
        <w:rPr>
          <w:rFonts w:ascii="宋体" w:eastAsia="宋体" w:hAnsi="宋体" w:cs="宋体"/>
          <w:sz w:val="24"/>
          <w:szCs w:val="24"/>
        </w:rPr>
        <w:t>）正式授权其</w:t>
      </w:r>
      <w:r>
        <w:rPr>
          <w:rFonts w:ascii="宋体" w:eastAsia="宋体" w:hAnsi="宋体" w:cs="宋体" w:hint="eastAsia"/>
          <w:sz w:val="24"/>
          <w:szCs w:val="24"/>
        </w:rPr>
        <w:t>下属</w:t>
      </w:r>
      <w:r>
        <w:rPr>
          <w:rFonts w:ascii="宋体" w:eastAsia="宋体" w:hAnsi="宋体" w:cs="宋体"/>
          <w:sz w:val="24"/>
          <w:szCs w:val="24"/>
        </w:rPr>
        <w:t>子公司</w:t>
      </w:r>
      <w:r>
        <w:rPr>
          <w:rFonts w:ascii="宋体" w:eastAsia="宋体" w:hAnsi="宋体" w:cs="宋体" w:hint="eastAsia"/>
          <w:bCs/>
          <w:sz w:val="24"/>
          <w:szCs w:val="24"/>
        </w:rPr>
        <w:t>中金</w:t>
      </w:r>
      <w:proofErr w:type="gramStart"/>
      <w:r>
        <w:rPr>
          <w:rFonts w:ascii="宋体" w:eastAsia="宋体" w:hAnsi="宋体" w:cs="宋体" w:hint="eastAsia"/>
          <w:bCs/>
          <w:sz w:val="24"/>
          <w:szCs w:val="24"/>
        </w:rPr>
        <w:t>所数据</w:t>
      </w:r>
      <w:proofErr w:type="gramEnd"/>
      <w:r>
        <w:rPr>
          <w:rFonts w:ascii="宋体" w:eastAsia="宋体" w:hAnsi="宋体" w:cs="宋体" w:hint="eastAsia"/>
          <w:bCs/>
          <w:sz w:val="24"/>
          <w:szCs w:val="24"/>
        </w:rPr>
        <w:t>有限公司</w:t>
      </w:r>
      <w:r>
        <w:rPr>
          <w:rFonts w:ascii="宋体" w:eastAsia="宋体" w:hAnsi="宋体" w:cs="宋体"/>
          <w:sz w:val="24"/>
          <w:szCs w:val="24"/>
        </w:rPr>
        <w:t>开展中金所期货信息在境内外的经营业务。为便于各类机构申请经营中金所的延时行情数据产品，特编写以下申请指引。</w:t>
      </w:r>
    </w:p>
    <w:p w:rsidR="0061585A" w:rsidRDefault="00DD205A">
      <w:pPr>
        <w:spacing w:line="366" w:lineRule="exact"/>
        <w:ind w:firstLineChars="300" w:firstLine="964"/>
        <w:rPr>
          <w:sz w:val="20"/>
          <w:szCs w:val="20"/>
        </w:rPr>
      </w:pPr>
      <w:r>
        <w:rPr>
          <w:rFonts w:ascii="宋体" w:eastAsia="宋体" w:hAnsi="宋体" w:cs="宋体"/>
          <w:b/>
          <w:bCs/>
          <w:sz w:val="32"/>
          <w:szCs w:val="32"/>
        </w:rPr>
        <w:t>一、延时行情</w:t>
      </w:r>
    </w:p>
    <w:p w:rsidR="0061585A" w:rsidRDefault="0061585A">
      <w:pPr>
        <w:spacing w:line="232" w:lineRule="exact"/>
        <w:rPr>
          <w:sz w:val="20"/>
          <w:szCs w:val="20"/>
        </w:rPr>
      </w:pPr>
    </w:p>
    <w:p w:rsidR="0061585A" w:rsidRDefault="00DD205A">
      <w:pPr>
        <w:spacing w:line="360" w:lineRule="auto"/>
        <w:ind w:left="340" w:right="340" w:firstLineChars="200" w:firstLine="480"/>
        <w:rPr>
          <w:sz w:val="24"/>
          <w:szCs w:val="24"/>
        </w:rPr>
      </w:pPr>
      <w:r>
        <w:rPr>
          <w:rFonts w:ascii="宋体" w:eastAsia="宋体" w:hAnsi="宋体" w:cs="宋体" w:hint="eastAsia"/>
          <w:sz w:val="24"/>
          <w:szCs w:val="24"/>
        </w:rPr>
        <w:t>延时行情是指相对于实时行情而言，其行情发布有</w:t>
      </w:r>
      <w:r>
        <w:rPr>
          <w:rFonts w:eastAsia="Times New Roman"/>
          <w:sz w:val="24"/>
          <w:szCs w:val="24"/>
        </w:rPr>
        <w:t xml:space="preserve"> 15 </w:t>
      </w:r>
      <w:r>
        <w:rPr>
          <w:rFonts w:ascii="宋体" w:eastAsia="宋体" w:hAnsi="宋体" w:cs="宋体" w:hint="eastAsia"/>
          <w:sz w:val="24"/>
          <w:szCs w:val="24"/>
        </w:rPr>
        <w:t>分钟的延迟，行情采样及发布频率为</w:t>
      </w:r>
      <w:r>
        <w:rPr>
          <w:rFonts w:eastAsia="Times New Roman" w:hint="eastAsia"/>
          <w:sz w:val="24"/>
          <w:szCs w:val="24"/>
        </w:rPr>
        <w:t>1</w:t>
      </w:r>
      <w:r>
        <w:rPr>
          <w:rFonts w:eastAsia="Times New Roman"/>
          <w:sz w:val="24"/>
          <w:szCs w:val="24"/>
        </w:rPr>
        <w:t>5</w:t>
      </w:r>
      <w:r>
        <w:rPr>
          <w:rFonts w:ascii="宋体" w:eastAsia="宋体" w:hAnsi="宋体" w:cs="宋体" w:hint="eastAsia"/>
          <w:sz w:val="24"/>
          <w:szCs w:val="24"/>
        </w:rPr>
        <w:t>秒</w:t>
      </w:r>
      <w:r>
        <w:rPr>
          <w:rFonts w:eastAsia="Times New Roman" w:hint="eastAsia"/>
          <w:sz w:val="24"/>
          <w:szCs w:val="24"/>
        </w:rPr>
        <w:t>/</w:t>
      </w:r>
      <w:r>
        <w:rPr>
          <w:rFonts w:ascii="宋体" w:eastAsia="宋体" w:hAnsi="宋体" w:cs="宋体" w:hint="eastAsia"/>
          <w:sz w:val="24"/>
          <w:szCs w:val="24"/>
        </w:rPr>
        <w:t>次（详细格式参见附件</w:t>
      </w:r>
      <w:r>
        <w:rPr>
          <w:rFonts w:eastAsia="Times New Roman"/>
          <w:sz w:val="24"/>
          <w:szCs w:val="24"/>
        </w:rPr>
        <w:t xml:space="preserve"> 1</w:t>
      </w:r>
      <w:r>
        <w:rPr>
          <w:rFonts w:ascii="宋体" w:eastAsia="宋体" w:hAnsi="宋体" w:cs="宋体" w:hint="eastAsia"/>
          <w:sz w:val="24"/>
          <w:szCs w:val="24"/>
        </w:rPr>
        <w:t>）。</w:t>
      </w: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延时行情可以用于网站展示、</w:t>
      </w:r>
      <w:r>
        <w:rPr>
          <w:rFonts w:ascii="宋体" w:eastAsia="宋体" w:hAnsi="宋体" w:cs="宋体"/>
          <w:sz w:val="24"/>
          <w:szCs w:val="24"/>
        </w:rPr>
        <w:t xml:space="preserve">PC </w:t>
      </w:r>
      <w:r>
        <w:rPr>
          <w:rFonts w:ascii="宋体" w:eastAsia="宋体" w:hAnsi="宋体" w:cs="宋体"/>
          <w:sz w:val="24"/>
          <w:szCs w:val="24"/>
        </w:rPr>
        <w:t>终端、无线终端、电视媒体等多种传播方式。（中金所官方网站</w:t>
      </w:r>
      <w:r>
        <w:rPr>
          <w:rFonts w:ascii="宋体" w:eastAsia="宋体" w:hAnsi="宋体" w:cs="宋体"/>
          <w:sz w:val="24"/>
          <w:szCs w:val="24"/>
        </w:rPr>
        <w:t xml:space="preserve">http://www.cffex.com.cn </w:t>
      </w:r>
      <w:r>
        <w:rPr>
          <w:rFonts w:ascii="宋体" w:eastAsia="宋体" w:hAnsi="宋体" w:cs="宋体"/>
          <w:sz w:val="24"/>
          <w:szCs w:val="24"/>
        </w:rPr>
        <w:t>展示的行情也为延时</w:t>
      </w:r>
      <w:r>
        <w:rPr>
          <w:rFonts w:ascii="宋体" w:eastAsia="宋体" w:hAnsi="宋体" w:cs="宋体"/>
          <w:sz w:val="24"/>
          <w:szCs w:val="24"/>
        </w:rPr>
        <w:t xml:space="preserve"> 15 </w:t>
      </w:r>
      <w:r>
        <w:rPr>
          <w:rFonts w:ascii="宋体" w:eastAsia="宋体" w:hAnsi="宋体" w:cs="宋体"/>
          <w:sz w:val="24"/>
          <w:szCs w:val="24"/>
        </w:rPr>
        <w:t>分钟的行情）。</w:t>
      </w:r>
    </w:p>
    <w:p w:rsidR="0061585A" w:rsidRDefault="00DD205A">
      <w:pPr>
        <w:spacing w:line="366" w:lineRule="exact"/>
        <w:ind w:left="940"/>
        <w:rPr>
          <w:sz w:val="20"/>
          <w:szCs w:val="20"/>
        </w:rPr>
      </w:pPr>
      <w:r>
        <w:rPr>
          <w:rFonts w:ascii="宋体" w:eastAsia="宋体" w:hAnsi="宋体" w:cs="宋体"/>
          <w:b/>
          <w:bCs/>
          <w:sz w:val="32"/>
          <w:szCs w:val="32"/>
        </w:rPr>
        <w:t>二、申请指引</w:t>
      </w:r>
    </w:p>
    <w:p w:rsidR="0061585A" w:rsidRDefault="0061585A">
      <w:pPr>
        <w:spacing w:line="233" w:lineRule="exact"/>
        <w:rPr>
          <w:sz w:val="20"/>
          <w:szCs w:val="20"/>
        </w:rPr>
      </w:pP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任何单位需转发或者经营中金所的延时行情须向中金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有限公司申请办理行情信息授权许可。</w:t>
      </w:r>
    </w:p>
    <w:p w:rsidR="0061585A" w:rsidRDefault="00DD205A">
      <w:pPr>
        <w:spacing w:line="365" w:lineRule="exact"/>
        <w:ind w:left="940"/>
        <w:rPr>
          <w:sz w:val="20"/>
          <w:szCs w:val="20"/>
        </w:rPr>
      </w:pPr>
      <w:r>
        <w:rPr>
          <w:rFonts w:eastAsia="Times New Roman"/>
          <w:b/>
          <w:bCs/>
          <w:sz w:val="30"/>
          <w:szCs w:val="30"/>
        </w:rPr>
        <w:t>1</w:t>
      </w:r>
      <w:r>
        <w:rPr>
          <w:rFonts w:ascii="宋体" w:eastAsia="宋体" w:hAnsi="宋体" w:cs="宋体"/>
          <w:b/>
          <w:bCs/>
          <w:sz w:val="30"/>
          <w:szCs w:val="30"/>
        </w:rPr>
        <w:t>、申请条件</w:t>
      </w:r>
    </w:p>
    <w:p w:rsidR="0061585A" w:rsidRDefault="0061585A">
      <w:pPr>
        <w:spacing w:line="220" w:lineRule="exact"/>
        <w:rPr>
          <w:sz w:val="20"/>
          <w:szCs w:val="20"/>
        </w:rPr>
      </w:pPr>
    </w:p>
    <w:p w:rsidR="0061585A" w:rsidRDefault="00DD205A">
      <w:pPr>
        <w:spacing w:line="274" w:lineRule="exact"/>
        <w:ind w:left="840"/>
        <w:rPr>
          <w:sz w:val="20"/>
          <w:szCs w:val="20"/>
        </w:rPr>
      </w:pPr>
      <w:r>
        <w:rPr>
          <w:rFonts w:ascii="宋体" w:eastAsia="宋体" w:hAnsi="宋体" w:cs="宋体"/>
          <w:sz w:val="24"/>
          <w:szCs w:val="24"/>
        </w:rPr>
        <w:t>任何合法成立的信息经营单位，符合以下全部条件，可以提出申请：</w:t>
      </w:r>
    </w:p>
    <w:p w:rsidR="0061585A" w:rsidRDefault="0061585A">
      <w:pPr>
        <w:spacing w:line="194" w:lineRule="exact"/>
        <w:rPr>
          <w:sz w:val="20"/>
          <w:szCs w:val="20"/>
        </w:rPr>
      </w:pPr>
    </w:p>
    <w:p w:rsidR="0061585A" w:rsidRDefault="00DD205A">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）具有固定的营业场所；</w:t>
      </w:r>
    </w:p>
    <w:p w:rsidR="0061585A" w:rsidRDefault="0061585A">
      <w:pPr>
        <w:spacing w:line="176" w:lineRule="exact"/>
        <w:rPr>
          <w:sz w:val="20"/>
          <w:szCs w:val="20"/>
        </w:rPr>
      </w:pPr>
    </w:p>
    <w:p w:rsidR="0061585A" w:rsidRDefault="00DD205A">
      <w:pPr>
        <w:spacing w:line="292" w:lineRule="exact"/>
        <w:ind w:left="840"/>
        <w:rPr>
          <w:sz w:val="20"/>
          <w:szCs w:val="20"/>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）营业执照经营范围包含行情相关的信息经营内容；</w:t>
      </w:r>
    </w:p>
    <w:p w:rsidR="0061585A" w:rsidRDefault="0061585A">
      <w:pPr>
        <w:spacing w:line="176" w:lineRule="exact"/>
        <w:rPr>
          <w:sz w:val="20"/>
          <w:szCs w:val="20"/>
        </w:rPr>
      </w:pPr>
    </w:p>
    <w:p w:rsidR="0061585A" w:rsidRDefault="00DD205A">
      <w:pPr>
        <w:spacing w:line="292" w:lineRule="exact"/>
        <w:ind w:left="840"/>
        <w:rPr>
          <w:sz w:val="20"/>
          <w:szCs w:val="20"/>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）持有目前信息经营所需的全部相关资质和合法许可等；</w:t>
      </w:r>
    </w:p>
    <w:p w:rsidR="0061585A" w:rsidRDefault="0061585A">
      <w:pPr>
        <w:spacing w:line="188" w:lineRule="exact"/>
        <w:rPr>
          <w:sz w:val="20"/>
          <w:szCs w:val="20"/>
        </w:rPr>
      </w:pP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）注册资金</w:t>
      </w:r>
      <w:r>
        <w:rPr>
          <w:rFonts w:ascii="宋体" w:eastAsia="宋体" w:hAnsi="宋体" w:cs="宋体"/>
          <w:sz w:val="24"/>
          <w:szCs w:val="24"/>
        </w:rPr>
        <w:t xml:space="preserve"> 100 </w:t>
      </w:r>
      <w:r>
        <w:rPr>
          <w:rFonts w:ascii="宋体" w:eastAsia="宋体" w:hAnsi="宋体" w:cs="宋体"/>
          <w:sz w:val="24"/>
          <w:szCs w:val="24"/>
        </w:rPr>
        <w:t>万元人民币以上（含），财务状况良好，技术实力可靠并具备为市场提供可靠服务的能力；</w:t>
      </w: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）自身、母公司或控股股东、子公司及控股公司、关联公司近三年内无非法或不良的经营记录。</w:t>
      </w:r>
    </w:p>
    <w:p w:rsidR="0061585A" w:rsidRDefault="00DD205A">
      <w:pPr>
        <w:spacing w:line="292" w:lineRule="exact"/>
        <w:ind w:left="840"/>
        <w:rPr>
          <w:sz w:val="20"/>
          <w:szCs w:val="20"/>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）符合相关技术要求。</w:t>
      </w:r>
    </w:p>
    <w:p w:rsidR="0061585A" w:rsidRDefault="0061585A">
      <w:pPr>
        <w:spacing w:line="216" w:lineRule="exact"/>
        <w:rPr>
          <w:sz w:val="20"/>
          <w:szCs w:val="20"/>
        </w:rPr>
      </w:pPr>
    </w:p>
    <w:p w:rsidR="0061585A" w:rsidRDefault="00DD205A">
      <w:pPr>
        <w:spacing w:line="365" w:lineRule="exact"/>
        <w:ind w:left="940"/>
        <w:rPr>
          <w:sz w:val="20"/>
          <w:szCs w:val="20"/>
        </w:rPr>
      </w:pPr>
      <w:r>
        <w:rPr>
          <w:rFonts w:eastAsia="Times New Roman"/>
          <w:b/>
          <w:bCs/>
          <w:sz w:val="30"/>
          <w:szCs w:val="30"/>
        </w:rPr>
        <w:t>2</w:t>
      </w:r>
      <w:r>
        <w:rPr>
          <w:rFonts w:ascii="宋体" w:eastAsia="宋体" w:hAnsi="宋体" w:cs="宋体"/>
          <w:b/>
          <w:bCs/>
          <w:sz w:val="30"/>
          <w:szCs w:val="30"/>
        </w:rPr>
        <w:t>、行情申请流程</w:t>
      </w:r>
    </w:p>
    <w:p w:rsidR="0061585A" w:rsidRDefault="0061585A">
      <w:pPr>
        <w:spacing w:line="220" w:lineRule="exact"/>
        <w:rPr>
          <w:sz w:val="20"/>
          <w:szCs w:val="20"/>
        </w:rPr>
      </w:pPr>
    </w:p>
    <w:p w:rsidR="0061585A" w:rsidRDefault="00DD205A">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）申请方申请前请完成如下技术准备（参见附件</w:t>
      </w:r>
      <w:r>
        <w:rPr>
          <w:rFonts w:eastAsia="Times New Roman"/>
          <w:sz w:val="24"/>
          <w:szCs w:val="24"/>
        </w:rPr>
        <w:t xml:space="preserve"> 2</w:t>
      </w:r>
      <w:r>
        <w:rPr>
          <w:rFonts w:ascii="宋体" w:eastAsia="宋体" w:hAnsi="宋体" w:cs="宋体"/>
          <w:sz w:val="24"/>
          <w:szCs w:val="24"/>
        </w:rPr>
        <w:t>）：</w:t>
      </w:r>
    </w:p>
    <w:p w:rsidR="0061585A" w:rsidRDefault="0061585A">
      <w:pPr>
        <w:spacing w:line="214" w:lineRule="exact"/>
        <w:rPr>
          <w:sz w:val="20"/>
          <w:szCs w:val="20"/>
        </w:rPr>
      </w:pPr>
    </w:p>
    <w:p w:rsidR="0061585A" w:rsidRDefault="00DD205A">
      <w:pPr>
        <w:numPr>
          <w:ilvl w:val="0"/>
          <w:numId w:val="1"/>
        </w:numPr>
        <w:tabs>
          <w:tab w:val="left" w:pos="1620"/>
        </w:tabs>
        <w:spacing w:line="360" w:lineRule="auto"/>
        <w:ind w:left="357" w:right="244" w:firstLine="709"/>
        <w:rPr>
          <w:rFonts w:eastAsia="Times New Roman"/>
          <w:sz w:val="24"/>
          <w:szCs w:val="24"/>
        </w:rPr>
      </w:pPr>
      <w:r>
        <w:rPr>
          <w:rFonts w:ascii="宋体" w:eastAsia="宋体" w:hAnsi="宋体" w:cs="宋体"/>
          <w:sz w:val="24"/>
          <w:szCs w:val="24"/>
        </w:rPr>
        <w:t>如申请行情直接（从中金所信息转发</w:t>
      </w:r>
      <w:proofErr w:type="gramStart"/>
      <w:r>
        <w:rPr>
          <w:rFonts w:ascii="宋体" w:eastAsia="宋体" w:hAnsi="宋体" w:cs="宋体"/>
          <w:sz w:val="24"/>
          <w:szCs w:val="24"/>
        </w:rPr>
        <w:t>点直接</w:t>
      </w:r>
      <w:proofErr w:type="gramEnd"/>
      <w:r>
        <w:rPr>
          <w:rFonts w:ascii="宋体" w:eastAsia="宋体" w:hAnsi="宋体" w:cs="宋体"/>
          <w:sz w:val="24"/>
          <w:szCs w:val="24"/>
        </w:rPr>
        <w:t>接收行情信息数据）授权，需要先完成行情转发链路建设并完成两</w:t>
      </w:r>
      <w:r>
        <w:rPr>
          <w:rFonts w:ascii="宋体" w:eastAsia="宋体" w:hAnsi="宋体" w:cs="宋体"/>
          <w:sz w:val="24"/>
          <w:szCs w:val="24"/>
        </w:rPr>
        <w:t>项技术测试：行情接口适应性测试、链路连通性测试；</w:t>
      </w:r>
    </w:p>
    <w:p w:rsidR="0061585A" w:rsidRDefault="0061585A">
      <w:pPr>
        <w:spacing w:line="214" w:lineRule="exact"/>
        <w:rPr>
          <w:rFonts w:eastAsia="Times New Roman"/>
          <w:sz w:val="24"/>
          <w:szCs w:val="24"/>
        </w:rPr>
      </w:pPr>
    </w:p>
    <w:p w:rsidR="0061585A" w:rsidRDefault="00DD205A">
      <w:pPr>
        <w:ind w:right="6"/>
        <w:jc w:val="center"/>
        <w:rPr>
          <w:sz w:val="20"/>
          <w:szCs w:val="20"/>
        </w:rPr>
      </w:pPr>
      <w:r>
        <w:rPr>
          <w:rFonts w:eastAsia="Times New Roman"/>
          <w:sz w:val="21"/>
          <w:szCs w:val="21"/>
        </w:rPr>
        <w:t>1</w:t>
      </w:r>
      <w:bookmarkStart w:id="2" w:name="page3"/>
      <w:bookmarkEnd w:id="2"/>
    </w:p>
    <w:p w:rsidR="0061585A" w:rsidRDefault="00DD205A">
      <w:pPr>
        <w:numPr>
          <w:ilvl w:val="0"/>
          <w:numId w:val="2"/>
        </w:numPr>
        <w:tabs>
          <w:tab w:val="left" w:pos="1620"/>
        </w:tabs>
        <w:spacing w:line="360" w:lineRule="auto"/>
        <w:ind w:left="357" w:right="369" w:firstLine="709"/>
        <w:jc w:val="both"/>
        <w:rPr>
          <w:rFonts w:eastAsia="Times New Roman"/>
          <w:sz w:val="24"/>
          <w:szCs w:val="24"/>
        </w:rPr>
      </w:pPr>
      <w:r>
        <w:rPr>
          <w:rFonts w:ascii="宋体" w:eastAsia="宋体" w:hAnsi="宋体" w:cs="宋体"/>
          <w:sz w:val="24"/>
          <w:szCs w:val="24"/>
        </w:rPr>
        <w:lastRenderedPageBreak/>
        <w:t>如申请行情间接（从中金所行情信息合作机构的信息转发点接收行情信息数据）授权，需要完成与第三方的行情间接转接技术实施，并向中金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有限公司报备相关的技术方案和运维合同等材料；</w:t>
      </w:r>
    </w:p>
    <w:p w:rsidR="0061585A" w:rsidRDefault="00DD205A">
      <w:pPr>
        <w:spacing w:line="360" w:lineRule="auto"/>
        <w:ind w:left="357" w:right="369" w:firstLine="482"/>
        <w:rPr>
          <w:sz w:val="24"/>
          <w:szCs w:val="24"/>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）申请方提交申请材料，包括：中国金融期货交易所行情经营许可申请表及其附件；</w:t>
      </w:r>
    </w:p>
    <w:p w:rsidR="0061585A" w:rsidRDefault="00DD205A">
      <w:pPr>
        <w:spacing w:line="292" w:lineRule="exact"/>
        <w:ind w:left="840"/>
        <w:rPr>
          <w:rFonts w:eastAsia="Times New Roman"/>
          <w:sz w:val="24"/>
          <w:szCs w:val="24"/>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）申请审批；</w:t>
      </w:r>
    </w:p>
    <w:p w:rsidR="0061585A" w:rsidRDefault="0061585A">
      <w:pPr>
        <w:spacing w:line="204" w:lineRule="exact"/>
        <w:rPr>
          <w:sz w:val="24"/>
          <w:szCs w:val="24"/>
        </w:rPr>
      </w:pPr>
    </w:p>
    <w:p w:rsidR="0061585A" w:rsidRDefault="00DD205A">
      <w:pPr>
        <w:spacing w:line="365" w:lineRule="exact"/>
        <w:ind w:left="840" w:right="3026"/>
        <w:rPr>
          <w:rFonts w:ascii="宋体" w:eastAsia="宋体" w:hAnsi="宋体" w:cs="宋体"/>
          <w:sz w:val="24"/>
          <w:szCs w:val="24"/>
        </w:rPr>
      </w:pPr>
      <w:r>
        <w:rPr>
          <w:rFonts w:ascii="宋体" w:eastAsia="宋体" w:hAnsi="宋体" w:cs="宋体"/>
          <w:sz w:val="24"/>
          <w:szCs w:val="24"/>
        </w:rPr>
        <w:t>（</w:t>
      </w:r>
      <w:r>
        <w:rPr>
          <w:rFonts w:eastAsia="Times New Roman"/>
          <w:sz w:val="24"/>
          <w:szCs w:val="24"/>
        </w:rPr>
        <w:t>4</w:t>
      </w:r>
      <w:r>
        <w:rPr>
          <w:rFonts w:ascii="宋体" w:eastAsia="宋体" w:hAnsi="宋体" w:cs="宋体"/>
          <w:sz w:val="24"/>
          <w:szCs w:val="24"/>
        </w:rPr>
        <w:t>）通过审批后，双方签署行情经营许可协议；</w:t>
      </w:r>
    </w:p>
    <w:p w:rsidR="0061585A" w:rsidRDefault="0061585A">
      <w:pPr>
        <w:spacing w:line="204" w:lineRule="exact"/>
        <w:rPr>
          <w:rFonts w:ascii="宋体" w:eastAsia="宋体" w:hAnsi="宋体" w:cs="宋体"/>
          <w:sz w:val="24"/>
          <w:szCs w:val="24"/>
        </w:rPr>
      </w:pPr>
    </w:p>
    <w:p w:rsidR="0061585A" w:rsidRDefault="00DD205A">
      <w:pPr>
        <w:spacing w:line="365" w:lineRule="exact"/>
        <w:ind w:left="840" w:right="3026"/>
        <w:rPr>
          <w:rFonts w:eastAsia="Times New Roman"/>
          <w:sz w:val="24"/>
          <w:szCs w:val="24"/>
        </w:rPr>
      </w:pPr>
      <w:r>
        <w:rPr>
          <w:rFonts w:ascii="宋体" w:eastAsia="宋体" w:hAnsi="宋体" w:cs="宋体"/>
          <w:sz w:val="24"/>
          <w:szCs w:val="24"/>
        </w:rPr>
        <w:t>（</w:t>
      </w:r>
      <w:r>
        <w:rPr>
          <w:rFonts w:eastAsia="Times New Roman"/>
          <w:sz w:val="24"/>
          <w:szCs w:val="24"/>
        </w:rPr>
        <w:t>5</w:t>
      </w:r>
      <w:r>
        <w:rPr>
          <w:rFonts w:ascii="宋体" w:eastAsia="宋体" w:hAnsi="宋体" w:cs="宋体"/>
          <w:sz w:val="24"/>
          <w:szCs w:val="24"/>
        </w:rPr>
        <w:t>）申请方缴纳相关费用；</w:t>
      </w:r>
    </w:p>
    <w:p w:rsidR="0061585A" w:rsidRDefault="0061585A">
      <w:pPr>
        <w:spacing w:line="206" w:lineRule="exact"/>
        <w:rPr>
          <w:rFonts w:eastAsia="Times New Roman"/>
          <w:sz w:val="24"/>
          <w:szCs w:val="24"/>
        </w:rPr>
      </w:pPr>
    </w:p>
    <w:p w:rsidR="0061585A" w:rsidRDefault="00DD205A">
      <w:pPr>
        <w:spacing w:line="356" w:lineRule="exact"/>
        <w:ind w:left="360" w:right="366" w:firstLine="480"/>
        <w:rPr>
          <w:rFonts w:eastAsia="Times New Roman"/>
          <w:sz w:val="24"/>
          <w:szCs w:val="24"/>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）颁发信息经营许可证，并将完成合同签署及缴费的申请方名称在网站公示。</w:t>
      </w:r>
    </w:p>
    <w:p w:rsidR="0061585A" w:rsidRDefault="0061585A">
      <w:pPr>
        <w:spacing w:line="235" w:lineRule="exact"/>
        <w:rPr>
          <w:sz w:val="20"/>
          <w:szCs w:val="20"/>
        </w:rPr>
      </w:pPr>
    </w:p>
    <w:p w:rsidR="0061585A" w:rsidRDefault="00DD205A">
      <w:pPr>
        <w:spacing w:line="365" w:lineRule="exact"/>
        <w:ind w:left="940"/>
        <w:rPr>
          <w:sz w:val="20"/>
          <w:szCs w:val="20"/>
        </w:rPr>
      </w:pPr>
      <w:r>
        <w:rPr>
          <w:rFonts w:eastAsia="Times New Roman"/>
          <w:b/>
          <w:bCs/>
          <w:sz w:val="30"/>
          <w:szCs w:val="30"/>
        </w:rPr>
        <w:t>3</w:t>
      </w:r>
      <w:r>
        <w:rPr>
          <w:rFonts w:ascii="宋体" w:eastAsia="宋体" w:hAnsi="宋体" w:cs="宋体"/>
          <w:b/>
          <w:bCs/>
          <w:sz w:val="30"/>
          <w:szCs w:val="30"/>
        </w:rPr>
        <w:t>、经营要求</w:t>
      </w:r>
    </w:p>
    <w:p w:rsidR="0061585A" w:rsidRDefault="0061585A">
      <w:pPr>
        <w:spacing w:line="232" w:lineRule="exact"/>
        <w:rPr>
          <w:sz w:val="20"/>
          <w:szCs w:val="20"/>
        </w:rPr>
      </w:pP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）按许可的用途、范围在许可有效期内经营行情，不得将授权许可进行出售或者转让；</w:t>
      </w: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有限公司书面许可，不得将全部或部分中金所行情信息传播到许可证指定以外的任何单位或个人及用于许可证指定以外的任何地方和用途；</w:t>
      </w: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）不得将全部或部分中金所行情信息用于非法目的，或者主动提供给第三方用于非法目的；</w:t>
      </w: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有限公司书面许可，不得使用中金所及关联单位的名称与标识（文字、图案或记号等）；</w:t>
      </w: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）不得采取冒用中金所名义、夸大产品功能、贬损竞争对手等手段进行虚假、误导性宣传。</w:t>
      </w:r>
    </w:p>
    <w:p w:rsidR="0061585A" w:rsidRDefault="00DD205A">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上述内容仅为事前告知，具体经营要求以许可以申请方与中金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有限公司签订的信息授权经营合同为准。</w:t>
      </w:r>
    </w:p>
    <w:p w:rsidR="0061585A" w:rsidRDefault="00DD205A">
      <w:pPr>
        <w:spacing w:line="360" w:lineRule="auto"/>
        <w:ind w:left="839"/>
        <w:rPr>
          <w:sz w:val="24"/>
          <w:szCs w:val="24"/>
        </w:rPr>
      </w:pPr>
      <w:r>
        <w:rPr>
          <w:rFonts w:ascii="宋体" w:eastAsia="宋体" w:hAnsi="宋体" w:cs="宋体"/>
          <w:sz w:val="24"/>
          <w:szCs w:val="24"/>
        </w:rPr>
        <w:t>本文档的解释权和调</w:t>
      </w:r>
      <w:proofErr w:type="gramStart"/>
      <w:r>
        <w:rPr>
          <w:rFonts w:ascii="宋体" w:eastAsia="宋体" w:hAnsi="宋体" w:cs="宋体"/>
          <w:sz w:val="24"/>
          <w:szCs w:val="24"/>
        </w:rPr>
        <w:t>整权归中金</w:t>
      </w:r>
      <w:proofErr w:type="gramEnd"/>
      <w:r>
        <w:rPr>
          <w:rFonts w:ascii="宋体" w:eastAsia="宋体" w:hAnsi="宋体" w:cs="宋体"/>
          <w:sz w:val="24"/>
          <w:szCs w:val="24"/>
        </w:rPr>
        <w:t>所及中金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有限公司所有。</w:t>
      </w: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397" w:lineRule="exact"/>
        <w:rPr>
          <w:sz w:val="20"/>
          <w:szCs w:val="20"/>
        </w:rPr>
      </w:pPr>
    </w:p>
    <w:p w:rsidR="0061585A" w:rsidRDefault="00DD205A">
      <w:pPr>
        <w:ind w:right="6"/>
        <w:jc w:val="center"/>
        <w:rPr>
          <w:sz w:val="20"/>
          <w:szCs w:val="20"/>
        </w:rPr>
      </w:pPr>
      <w:r>
        <w:rPr>
          <w:rFonts w:eastAsia="Times New Roman"/>
          <w:sz w:val="21"/>
          <w:szCs w:val="21"/>
        </w:rPr>
        <w:t>2</w:t>
      </w:r>
    </w:p>
    <w:p w:rsidR="0061585A" w:rsidRDefault="0061585A">
      <w:pPr>
        <w:sectPr w:rsidR="0061585A">
          <w:pgSz w:w="11900" w:h="16838"/>
          <w:pgMar w:top="1440" w:right="1440" w:bottom="654" w:left="1440" w:header="680" w:footer="0" w:gutter="0"/>
          <w:cols w:space="720" w:equalWidth="0">
            <w:col w:w="9026"/>
          </w:cols>
        </w:sectPr>
      </w:pPr>
    </w:p>
    <w:p w:rsidR="0061585A" w:rsidRDefault="0061585A">
      <w:pPr>
        <w:spacing w:line="104" w:lineRule="exact"/>
        <w:rPr>
          <w:sz w:val="20"/>
          <w:szCs w:val="20"/>
        </w:rPr>
      </w:pPr>
      <w:bookmarkStart w:id="3" w:name="page4"/>
      <w:bookmarkEnd w:id="3"/>
    </w:p>
    <w:p w:rsidR="0061585A" w:rsidRDefault="0061585A">
      <w:pPr>
        <w:spacing w:line="104" w:lineRule="exact"/>
        <w:rPr>
          <w:sz w:val="20"/>
          <w:szCs w:val="20"/>
        </w:rPr>
      </w:pPr>
    </w:p>
    <w:p w:rsidR="0061585A" w:rsidRDefault="00DD205A">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1</w:t>
      </w:r>
    </w:p>
    <w:p w:rsidR="0061585A" w:rsidRDefault="0061585A">
      <w:pPr>
        <w:spacing w:line="212" w:lineRule="exact"/>
        <w:rPr>
          <w:sz w:val="20"/>
          <w:szCs w:val="20"/>
        </w:rPr>
      </w:pPr>
    </w:p>
    <w:p w:rsidR="0061585A" w:rsidRDefault="00DD205A">
      <w:pPr>
        <w:spacing w:line="411" w:lineRule="exact"/>
        <w:ind w:right="6"/>
        <w:jc w:val="center"/>
        <w:rPr>
          <w:sz w:val="20"/>
          <w:szCs w:val="20"/>
        </w:rPr>
      </w:pPr>
      <w:r>
        <w:rPr>
          <w:rFonts w:ascii="宋体" w:eastAsia="宋体" w:hAnsi="宋体" w:cs="宋体"/>
          <w:b/>
          <w:bCs/>
          <w:sz w:val="36"/>
          <w:szCs w:val="36"/>
        </w:rPr>
        <w:t>中国金融期货交易所延时行情数据文件格式明细</w:t>
      </w: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336" w:lineRule="exact"/>
        <w:rPr>
          <w:sz w:val="20"/>
          <w:szCs w:val="20"/>
        </w:rPr>
      </w:pPr>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1400"/>
        <w:gridCol w:w="2080"/>
        <w:gridCol w:w="30"/>
      </w:tblGrid>
      <w:tr w:rsidR="0061585A">
        <w:trPr>
          <w:trHeight w:val="423"/>
        </w:trPr>
        <w:tc>
          <w:tcPr>
            <w:tcW w:w="2120" w:type="dxa"/>
            <w:tcBorders>
              <w:top w:val="single" w:sz="8" w:space="0" w:color="auto"/>
              <w:left w:val="single" w:sz="8" w:space="0" w:color="auto"/>
              <w:right w:val="single" w:sz="8" w:space="0" w:color="auto"/>
            </w:tcBorders>
            <w:vAlign w:val="bottom"/>
          </w:tcPr>
          <w:p w:rsidR="0061585A" w:rsidRDefault="00DD205A">
            <w:pPr>
              <w:ind w:left="8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61585A" w:rsidRDefault="00DD205A">
            <w:pPr>
              <w:ind w:left="540"/>
              <w:rPr>
                <w:sz w:val="20"/>
                <w:szCs w:val="20"/>
              </w:rPr>
            </w:pPr>
            <w:r>
              <w:rPr>
                <w:rFonts w:eastAsia="Times New Roman"/>
                <w:b/>
                <w:bCs/>
                <w:sz w:val="21"/>
                <w:szCs w:val="21"/>
              </w:rPr>
              <w:t>type</w:t>
            </w:r>
          </w:p>
        </w:tc>
        <w:tc>
          <w:tcPr>
            <w:tcW w:w="1400" w:type="dxa"/>
            <w:tcBorders>
              <w:top w:val="single" w:sz="8" w:space="0" w:color="auto"/>
              <w:right w:val="single" w:sz="8" w:space="0" w:color="auto"/>
            </w:tcBorders>
            <w:vAlign w:val="bottom"/>
          </w:tcPr>
          <w:p w:rsidR="0061585A" w:rsidRDefault="00DD205A">
            <w:pPr>
              <w:ind w:left="460"/>
              <w:rPr>
                <w:sz w:val="20"/>
                <w:szCs w:val="20"/>
              </w:rPr>
            </w:pPr>
            <w:r>
              <w:rPr>
                <w:rFonts w:eastAsia="Times New Roman"/>
                <w:b/>
                <w:bCs/>
                <w:sz w:val="21"/>
                <w:szCs w:val="21"/>
              </w:rPr>
              <w:t>label</w:t>
            </w:r>
          </w:p>
        </w:tc>
        <w:tc>
          <w:tcPr>
            <w:tcW w:w="2080" w:type="dxa"/>
            <w:tcBorders>
              <w:top w:val="single" w:sz="8" w:space="0" w:color="auto"/>
              <w:right w:val="single" w:sz="8" w:space="0" w:color="auto"/>
            </w:tcBorders>
            <w:vAlign w:val="bottom"/>
          </w:tcPr>
          <w:p w:rsidR="0061585A" w:rsidRDefault="00DD205A">
            <w:pPr>
              <w:ind w:left="520"/>
              <w:rPr>
                <w:sz w:val="20"/>
                <w:szCs w:val="20"/>
              </w:rPr>
            </w:pPr>
            <w:r>
              <w:rPr>
                <w:rFonts w:eastAsia="Times New Roman"/>
                <w:b/>
                <w:bCs/>
                <w:sz w:val="21"/>
                <w:szCs w:val="21"/>
              </w:rPr>
              <w:t>description</w:t>
            </w:r>
          </w:p>
        </w:tc>
        <w:tc>
          <w:tcPr>
            <w:tcW w:w="30" w:type="dxa"/>
            <w:vAlign w:val="bottom"/>
          </w:tcPr>
          <w:p w:rsidR="0061585A" w:rsidRDefault="0061585A">
            <w:pPr>
              <w:rPr>
                <w:sz w:val="1"/>
                <w:szCs w:val="1"/>
              </w:rPr>
            </w:pPr>
          </w:p>
        </w:tc>
      </w:tr>
      <w:tr w:rsidR="0061585A">
        <w:trPr>
          <w:trHeight w:val="112"/>
        </w:trPr>
        <w:tc>
          <w:tcPr>
            <w:tcW w:w="2120" w:type="dxa"/>
            <w:tcBorders>
              <w:left w:val="single" w:sz="8" w:space="0" w:color="auto"/>
              <w:bottom w:val="single" w:sz="8" w:space="0" w:color="auto"/>
              <w:right w:val="single" w:sz="8" w:space="0" w:color="auto"/>
            </w:tcBorders>
            <w:vAlign w:val="bottom"/>
          </w:tcPr>
          <w:p w:rsidR="0061585A" w:rsidRDefault="0061585A">
            <w:pPr>
              <w:rPr>
                <w:sz w:val="9"/>
                <w:szCs w:val="9"/>
              </w:rPr>
            </w:pPr>
          </w:p>
        </w:tc>
        <w:tc>
          <w:tcPr>
            <w:tcW w:w="1480" w:type="dxa"/>
            <w:tcBorders>
              <w:bottom w:val="single" w:sz="8" w:space="0" w:color="auto"/>
              <w:right w:val="single" w:sz="8" w:space="0" w:color="auto"/>
            </w:tcBorders>
            <w:vAlign w:val="bottom"/>
          </w:tcPr>
          <w:p w:rsidR="0061585A" w:rsidRDefault="0061585A">
            <w:pPr>
              <w:rPr>
                <w:sz w:val="9"/>
                <w:szCs w:val="9"/>
              </w:rPr>
            </w:pPr>
          </w:p>
        </w:tc>
        <w:tc>
          <w:tcPr>
            <w:tcW w:w="1400" w:type="dxa"/>
            <w:tcBorders>
              <w:bottom w:val="single" w:sz="8" w:space="0" w:color="auto"/>
              <w:right w:val="single" w:sz="8" w:space="0" w:color="auto"/>
            </w:tcBorders>
            <w:vAlign w:val="bottom"/>
          </w:tcPr>
          <w:p w:rsidR="0061585A" w:rsidRDefault="0061585A">
            <w:pPr>
              <w:rPr>
                <w:sz w:val="9"/>
                <w:szCs w:val="9"/>
              </w:rPr>
            </w:pPr>
          </w:p>
        </w:tc>
        <w:tc>
          <w:tcPr>
            <w:tcW w:w="2080" w:type="dxa"/>
            <w:tcBorders>
              <w:bottom w:val="single" w:sz="8" w:space="0" w:color="auto"/>
              <w:right w:val="single" w:sz="8" w:space="0" w:color="auto"/>
            </w:tcBorders>
            <w:vAlign w:val="bottom"/>
          </w:tcPr>
          <w:p w:rsidR="0061585A" w:rsidRDefault="0061585A">
            <w:pPr>
              <w:rPr>
                <w:sz w:val="9"/>
                <w:szCs w:val="9"/>
              </w:rPr>
            </w:pPr>
          </w:p>
        </w:tc>
        <w:tc>
          <w:tcPr>
            <w:tcW w:w="30" w:type="dxa"/>
            <w:vAlign w:val="bottom"/>
          </w:tcPr>
          <w:p w:rsidR="0061585A" w:rsidRDefault="0061585A">
            <w:pPr>
              <w:rPr>
                <w:sz w:val="1"/>
                <w:szCs w:val="1"/>
              </w:rPr>
            </w:pPr>
          </w:p>
        </w:tc>
      </w:tr>
      <w:tr w:rsidR="0061585A">
        <w:trPr>
          <w:trHeight w:val="370"/>
        </w:trPr>
        <w:tc>
          <w:tcPr>
            <w:tcW w:w="2120" w:type="dxa"/>
            <w:vMerge w:val="restart"/>
            <w:tcBorders>
              <w:left w:val="single" w:sz="8" w:space="0" w:color="auto"/>
              <w:right w:val="single" w:sz="8" w:space="0" w:color="auto"/>
            </w:tcBorders>
            <w:vAlign w:val="center"/>
          </w:tcPr>
          <w:p w:rsidR="0061585A" w:rsidRDefault="00DD205A">
            <w:pPr>
              <w:ind w:left="120"/>
              <w:jc w:val="both"/>
              <w:rPr>
                <w:sz w:val="20"/>
                <w:szCs w:val="20"/>
              </w:rPr>
            </w:pPr>
            <w:proofErr w:type="spellStart"/>
            <w:r>
              <w:rPr>
                <w:rFonts w:eastAsia="Times New Roman"/>
                <w:sz w:val="21"/>
                <w:szCs w:val="21"/>
              </w:rPr>
              <w:t>TradingDay</w:t>
            </w:r>
            <w:proofErr w:type="spellEnd"/>
          </w:p>
        </w:tc>
        <w:tc>
          <w:tcPr>
            <w:tcW w:w="1480" w:type="dxa"/>
            <w:vMerge w:val="restart"/>
            <w:tcBorders>
              <w:right w:val="single" w:sz="8" w:space="0" w:color="auto"/>
            </w:tcBorders>
            <w:vAlign w:val="center"/>
          </w:tcPr>
          <w:p w:rsidR="0061585A" w:rsidRDefault="00DD205A">
            <w:pPr>
              <w:ind w:left="100"/>
              <w:jc w:val="both"/>
              <w:rPr>
                <w:sz w:val="20"/>
                <w:szCs w:val="20"/>
              </w:rPr>
            </w:pPr>
            <w:r>
              <w:rPr>
                <w:rFonts w:eastAsia="Times New Roman"/>
                <w:sz w:val="21"/>
                <w:szCs w:val="21"/>
              </w:rPr>
              <w:t>char(8)</w:t>
            </w:r>
          </w:p>
        </w:tc>
        <w:tc>
          <w:tcPr>
            <w:tcW w:w="1400" w:type="dxa"/>
            <w:vMerge w:val="restart"/>
            <w:tcBorders>
              <w:right w:val="single" w:sz="8" w:space="0" w:color="auto"/>
            </w:tcBorders>
            <w:vAlign w:val="center"/>
          </w:tcPr>
          <w:p w:rsidR="0061585A" w:rsidRDefault="00DD205A">
            <w:pPr>
              <w:spacing w:line="240" w:lineRule="exact"/>
              <w:ind w:left="100"/>
              <w:jc w:val="both"/>
              <w:rPr>
                <w:sz w:val="20"/>
                <w:szCs w:val="20"/>
              </w:rPr>
            </w:pPr>
            <w:r>
              <w:rPr>
                <w:rFonts w:ascii="宋体" w:eastAsia="宋体" w:hAnsi="宋体" w:cs="宋体"/>
                <w:sz w:val="21"/>
                <w:szCs w:val="21"/>
              </w:rPr>
              <w:t>交易日</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交易发生的日期</w:t>
            </w:r>
          </w:p>
        </w:tc>
        <w:tc>
          <w:tcPr>
            <w:tcW w:w="30" w:type="dxa"/>
            <w:vAlign w:val="bottom"/>
          </w:tcPr>
          <w:p w:rsidR="0061585A" w:rsidRDefault="0061585A">
            <w:pPr>
              <w:rPr>
                <w:sz w:val="1"/>
                <w:szCs w:val="1"/>
              </w:rPr>
            </w:pPr>
          </w:p>
        </w:tc>
      </w:tr>
      <w:tr w:rsidR="0061585A">
        <w:trPr>
          <w:trHeight w:val="131"/>
        </w:trPr>
        <w:tc>
          <w:tcPr>
            <w:tcW w:w="2120" w:type="dxa"/>
            <w:vMerge/>
            <w:tcBorders>
              <w:left w:val="single" w:sz="8" w:space="0" w:color="auto"/>
              <w:right w:val="single" w:sz="8" w:space="0" w:color="auto"/>
            </w:tcBorders>
            <w:vAlign w:val="center"/>
          </w:tcPr>
          <w:p w:rsidR="0061585A" w:rsidRDefault="0061585A">
            <w:pPr>
              <w:jc w:val="both"/>
              <w:rPr>
                <w:sz w:val="11"/>
                <w:szCs w:val="11"/>
              </w:rPr>
            </w:pPr>
          </w:p>
        </w:tc>
        <w:tc>
          <w:tcPr>
            <w:tcW w:w="1480" w:type="dxa"/>
            <w:vMerge/>
            <w:tcBorders>
              <w:right w:val="single" w:sz="8" w:space="0" w:color="auto"/>
            </w:tcBorders>
            <w:vAlign w:val="center"/>
          </w:tcPr>
          <w:p w:rsidR="0061585A" w:rsidRDefault="0061585A">
            <w:pPr>
              <w:jc w:val="both"/>
              <w:rPr>
                <w:sz w:val="11"/>
                <w:szCs w:val="11"/>
              </w:rPr>
            </w:pPr>
          </w:p>
        </w:tc>
        <w:tc>
          <w:tcPr>
            <w:tcW w:w="1400" w:type="dxa"/>
            <w:vMerge/>
            <w:tcBorders>
              <w:right w:val="single" w:sz="8" w:space="0" w:color="auto"/>
            </w:tcBorders>
            <w:vAlign w:val="center"/>
          </w:tcPr>
          <w:p w:rsidR="0061585A" w:rsidRDefault="0061585A">
            <w:pPr>
              <w:jc w:val="both"/>
              <w:rPr>
                <w:sz w:val="11"/>
                <w:szCs w:val="11"/>
              </w:rPr>
            </w:pPr>
          </w:p>
        </w:tc>
        <w:tc>
          <w:tcPr>
            <w:tcW w:w="2080" w:type="dxa"/>
            <w:tcBorders>
              <w:right w:val="single" w:sz="8" w:space="0" w:color="auto"/>
            </w:tcBorders>
            <w:vAlign w:val="bottom"/>
          </w:tcPr>
          <w:p w:rsidR="0061585A" w:rsidRDefault="0061585A">
            <w:pPr>
              <w:rPr>
                <w:sz w:val="11"/>
                <w:szCs w:val="11"/>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center"/>
          </w:tcPr>
          <w:p w:rsidR="0061585A" w:rsidRDefault="0061585A">
            <w:pPr>
              <w:jc w:val="both"/>
              <w:rPr>
                <w:sz w:val="3"/>
                <w:szCs w:val="3"/>
              </w:rPr>
            </w:pPr>
          </w:p>
        </w:tc>
        <w:tc>
          <w:tcPr>
            <w:tcW w:w="1480" w:type="dxa"/>
            <w:tcBorders>
              <w:bottom w:val="single" w:sz="8" w:space="0" w:color="auto"/>
              <w:right w:val="single" w:sz="8" w:space="0" w:color="auto"/>
            </w:tcBorders>
            <w:vAlign w:val="center"/>
          </w:tcPr>
          <w:p w:rsidR="0061585A" w:rsidRDefault="0061585A">
            <w:pPr>
              <w:jc w:val="both"/>
              <w:rPr>
                <w:sz w:val="3"/>
                <w:szCs w:val="3"/>
              </w:rPr>
            </w:pPr>
          </w:p>
        </w:tc>
        <w:tc>
          <w:tcPr>
            <w:tcW w:w="1400" w:type="dxa"/>
            <w:tcBorders>
              <w:bottom w:val="single" w:sz="8" w:space="0" w:color="auto"/>
              <w:right w:val="single" w:sz="8" w:space="0" w:color="auto"/>
            </w:tcBorders>
            <w:vAlign w:val="center"/>
          </w:tcPr>
          <w:p w:rsidR="0061585A" w:rsidRDefault="0061585A">
            <w:pPr>
              <w:jc w:val="both"/>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380"/>
        </w:trPr>
        <w:tc>
          <w:tcPr>
            <w:tcW w:w="2120" w:type="dxa"/>
            <w:vMerge w:val="restart"/>
            <w:tcBorders>
              <w:left w:val="single" w:sz="8" w:space="0" w:color="auto"/>
              <w:right w:val="single" w:sz="8" w:space="0" w:color="auto"/>
            </w:tcBorders>
            <w:vAlign w:val="center"/>
          </w:tcPr>
          <w:p w:rsidR="0061585A" w:rsidRDefault="00DD205A">
            <w:pPr>
              <w:ind w:left="120"/>
              <w:jc w:val="both"/>
              <w:rPr>
                <w:sz w:val="20"/>
                <w:szCs w:val="20"/>
              </w:rPr>
            </w:pPr>
            <w:proofErr w:type="spellStart"/>
            <w:r>
              <w:rPr>
                <w:rFonts w:eastAsia="Times New Roman"/>
                <w:sz w:val="21"/>
                <w:szCs w:val="21"/>
              </w:rPr>
              <w:t>SettlementGroupID</w:t>
            </w:r>
            <w:proofErr w:type="spellEnd"/>
          </w:p>
        </w:tc>
        <w:tc>
          <w:tcPr>
            <w:tcW w:w="1480" w:type="dxa"/>
            <w:vMerge w:val="restart"/>
            <w:tcBorders>
              <w:right w:val="single" w:sz="8" w:space="0" w:color="auto"/>
            </w:tcBorders>
            <w:vAlign w:val="center"/>
          </w:tcPr>
          <w:p w:rsidR="0061585A" w:rsidRDefault="00DD205A">
            <w:pPr>
              <w:ind w:left="100"/>
              <w:jc w:val="both"/>
              <w:rPr>
                <w:sz w:val="20"/>
                <w:szCs w:val="20"/>
              </w:rPr>
            </w:pPr>
            <w:r>
              <w:rPr>
                <w:rFonts w:eastAsia="Times New Roman"/>
                <w:sz w:val="21"/>
                <w:szCs w:val="21"/>
              </w:rPr>
              <w:t>char(8)</w:t>
            </w:r>
          </w:p>
        </w:tc>
        <w:tc>
          <w:tcPr>
            <w:tcW w:w="1400" w:type="dxa"/>
            <w:vMerge w:val="restart"/>
            <w:tcBorders>
              <w:right w:val="single" w:sz="8" w:space="0" w:color="auto"/>
            </w:tcBorders>
            <w:vAlign w:val="center"/>
          </w:tcPr>
          <w:p w:rsidR="0061585A" w:rsidRDefault="00DD205A">
            <w:pPr>
              <w:spacing w:line="240" w:lineRule="exact"/>
              <w:ind w:left="100"/>
              <w:jc w:val="both"/>
              <w:rPr>
                <w:sz w:val="20"/>
                <w:szCs w:val="20"/>
              </w:rPr>
            </w:pPr>
            <w:proofErr w:type="gramStart"/>
            <w:r>
              <w:rPr>
                <w:rFonts w:ascii="宋体" w:eastAsia="宋体" w:hAnsi="宋体" w:cs="宋体"/>
                <w:sz w:val="21"/>
                <w:szCs w:val="21"/>
              </w:rPr>
              <w:t>结算组</w:t>
            </w:r>
            <w:proofErr w:type="gramEnd"/>
            <w:r>
              <w:rPr>
                <w:rFonts w:ascii="宋体" w:eastAsia="宋体" w:hAnsi="宋体" w:cs="宋体"/>
                <w:sz w:val="21"/>
                <w:szCs w:val="21"/>
              </w:rPr>
              <w:t>代码</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一个</w:t>
            </w:r>
            <w:proofErr w:type="gramStart"/>
            <w:r>
              <w:rPr>
                <w:rFonts w:ascii="宋体" w:eastAsia="宋体" w:hAnsi="宋体" w:cs="宋体"/>
                <w:sz w:val="21"/>
                <w:szCs w:val="21"/>
              </w:rPr>
              <w:t>结算组</w:t>
            </w:r>
            <w:proofErr w:type="gramEnd"/>
            <w:r>
              <w:rPr>
                <w:rFonts w:ascii="宋体" w:eastAsia="宋体" w:hAnsi="宋体" w:cs="宋体"/>
                <w:sz w:val="21"/>
                <w:szCs w:val="21"/>
              </w:rPr>
              <w:t>的编号</w:t>
            </w:r>
          </w:p>
        </w:tc>
        <w:tc>
          <w:tcPr>
            <w:tcW w:w="30" w:type="dxa"/>
            <w:vAlign w:val="bottom"/>
          </w:tcPr>
          <w:p w:rsidR="0061585A" w:rsidRDefault="0061585A">
            <w:pPr>
              <w:rPr>
                <w:sz w:val="1"/>
                <w:szCs w:val="1"/>
              </w:rPr>
            </w:pPr>
          </w:p>
        </w:tc>
      </w:tr>
      <w:tr w:rsidR="0061585A">
        <w:trPr>
          <w:trHeight w:val="141"/>
        </w:trPr>
        <w:tc>
          <w:tcPr>
            <w:tcW w:w="2120" w:type="dxa"/>
            <w:vMerge/>
            <w:tcBorders>
              <w:left w:val="single" w:sz="8" w:space="0" w:color="auto"/>
              <w:right w:val="single" w:sz="8" w:space="0" w:color="auto"/>
            </w:tcBorders>
            <w:vAlign w:val="center"/>
          </w:tcPr>
          <w:p w:rsidR="0061585A" w:rsidRDefault="0061585A">
            <w:pPr>
              <w:jc w:val="both"/>
              <w:rPr>
                <w:sz w:val="12"/>
                <w:szCs w:val="12"/>
              </w:rPr>
            </w:pPr>
          </w:p>
        </w:tc>
        <w:tc>
          <w:tcPr>
            <w:tcW w:w="1480" w:type="dxa"/>
            <w:vMerge/>
            <w:tcBorders>
              <w:right w:val="single" w:sz="8" w:space="0" w:color="auto"/>
            </w:tcBorders>
            <w:vAlign w:val="center"/>
          </w:tcPr>
          <w:p w:rsidR="0061585A" w:rsidRDefault="0061585A">
            <w:pPr>
              <w:jc w:val="both"/>
              <w:rPr>
                <w:sz w:val="12"/>
                <w:szCs w:val="12"/>
              </w:rPr>
            </w:pPr>
          </w:p>
        </w:tc>
        <w:tc>
          <w:tcPr>
            <w:tcW w:w="1400" w:type="dxa"/>
            <w:vMerge/>
            <w:tcBorders>
              <w:right w:val="single" w:sz="8" w:space="0" w:color="auto"/>
            </w:tcBorders>
            <w:vAlign w:val="center"/>
          </w:tcPr>
          <w:p w:rsidR="0061585A" w:rsidRDefault="0061585A">
            <w:pPr>
              <w:jc w:val="both"/>
              <w:rPr>
                <w:sz w:val="12"/>
                <w:szCs w:val="12"/>
              </w:rPr>
            </w:pPr>
          </w:p>
        </w:tc>
        <w:tc>
          <w:tcPr>
            <w:tcW w:w="2080" w:type="dxa"/>
            <w:tcBorders>
              <w:right w:val="single" w:sz="8" w:space="0" w:color="auto"/>
            </w:tcBorders>
            <w:vAlign w:val="bottom"/>
          </w:tcPr>
          <w:p w:rsidR="0061585A" w:rsidRDefault="0061585A">
            <w:pPr>
              <w:rPr>
                <w:sz w:val="12"/>
                <w:szCs w:val="12"/>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center"/>
          </w:tcPr>
          <w:p w:rsidR="0061585A" w:rsidRDefault="0061585A">
            <w:pPr>
              <w:jc w:val="both"/>
              <w:rPr>
                <w:sz w:val="3"/>
                <w:szCs w:val="3"/>
              </w:rPr>
            </w:pPr>
          </w:p>
        </w:tc>
        <w:tc>
          <w:tcPr>
            <w:tcW w:w="1480" w:type="dxa"/>
            <w:tcBorders>
              <w:bottom w:val="single" w:sz="8" w:space="0" w:color="auto"/>
              <w:right w:val="single" w:sz="8" w:space="0" w:color="auto"/>
            </w:tcBorders>
            <w:vAlign w:val="center"/>
          </w:tcPr>
          <w:p w:rsidR="0061585A" w:rsidRDefault="0061585A">
            <w:pPr>
              <w:jc w:val="both"/>
              <w:rPr>
                <w:sz w:val="3"/>
                <w:szCs w:val="3"/>
              </w:rPr>
            </w:pPr>
          </w:p>
        </w:tc>
        <w:tc>
          <w:tcPr>
            <w:tcW w:w="1400" w:type="dxa"/>
            <w:tcBorders>
              <w:bottom w:val="single" w:sz="8" w:space="0" w:color="auto"/>
              <w:right w:val="single" w:sz="8" w:space="0" w:color="auto"/>
            </w:tcBorders>
            <w:vAlign w:val="center"/>
          </w:tcPr>
          <w:p w:rsidR="0061585A" w:rsidRDefault="0061585A">
            <w:pPr>
              <w:jc w:val="both"/>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378"/>
        </w:trPr>
        <w:tc>
          <w:tcPr>
            <w:tcW w:w="2120" w:type="dxa"/>
            <w:vMerge w:val="restart"/>
            <w:tcBorders>
              <w:left w:val="single" w:sz="8" w:space="0" w:color="auto"/>
              <w:right w:val="single" w:sz="8" w:space="0" w:color="auto"/>
            </w:tcBorders>
            <w:vAlign w:val="center"/>
          </w:tcPr>
          <w:p w:rsidR="0061585A" w:rsidRDefault="00DD205A">
            <w:pPr>
              <w:ind w:left="120"/>
              <w:jc w:val="both"/>
              <w:rPr>
                <w:sz w:val="20"/>
                <w:szCs w:val="20"/>
              </w:rPr>
            </w:pPr>
            <w:proofErr w:type="spellStart"/>
            <w:r>
              <w:rPr>
                <w:rFonts w:eastAsia="Times New Roman"/>
                <w:sz w:val="21"/>
                <w:szCs w:val="21"/>
              </w:rPr>
              <w:t>SettlementID</w:t>
            </w:r>
            <w:proofErr w:type="spellEnd"/>
          </w:p>
        </w:tc>
        <w:tc>
          <w:tcPr>
            <w:tcW w:w="1480" w:type="dxa"/>
            <w:vMerge w:val="restart"/>
            <w:tcBorders>
              <w:right w:val="single" w:sz="8" w:space="0" w:color="auto"/>
            </w:tcBorders>
            <w:vAlign w:val="center"/>
          </w:tcPr>
          <w:p w:rsidR="0061585A" w:rsidRDefault="00DD205A">
            <w:pPr>
              <w:ind w:left="100"/>
              <w:jc w:val="both"/>
              <w:rPr>
                <w:sz w:val="20"/>
                <w:szCs w:val="20"/>
              </w:rPr>
            </w:pPr>
            <w:r>
              <w:rPr>
                <w:rFonts w:eastAsia="Times New Roman"/>
                <w:sz w:val="21"/>
                <w:szCs w:val="21"/>
              </w:rPr>
              <w:t>number(3)</w:t>
            </w:r>
          </w:p>
        </w:tc>
        <w:tc>
          <w:tcPr>
            <w:tcW w:w="1400" w:type="dxa"/>
            <w:vMerge w:val="restart"/>
            <w:tcBorders>
              <w:right w:val="single" w:sz="8" w:space="0" w:color="auto"/>
            </w:tcBorders>
            <w:vAlign w:val="center"/>
          </w:tcPr>
          <w:p w:rsidR="0061585A" w:rsidRDefault="00DD205A">
            <w:pPr>
              <w:spacing w:line="240" w:lineRule="exact"/>
              <w:ind w:left="100"/>
              <w:jc w:val="both"/>
              <w:rPr>
                <w:sz w:val="20"/>
                <w:szCs w:val="20"/>
              </w:rPr>
            </w:pPr>
            <w:r>
              <w:rPr>
                <w:rFonts w:ascii="宋体" w:eastAsia="宋体" w:hAnsi="宋体" w:cs="宋体"/>
                <w:sz w:val="21"/>
                <w:szCs w:val="21"/>
              </w:rPr>
              <w:t>结算编号</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结算编号</w:t>
            </w:r>
          </w:p>
        </w:tc>
        <w:tc>
          <w:tcPr>
            <w:tcW w:w="30" w:type="dxa"/>
            <w:vAlign w:val="bottom"/>
          </w:tcPr>
          <w:p w:rsidR="0061585A" w:rsidRDefault="0061585A">
            <w:pPr>
              <w:rPr>
                <w:sz w:val="1"/>
                <w:szCs w:val="1"/>
              </w:rPr>
            </w:pPr>
          </w:p>
        </w:tc>
      </w:tr>
      <w:tr w:rsidR="0061585A">
        <w:trPr>
          <w:trHeight w:val="141"/>
        </w:trPr>
        <w:tc>
          <w:tcPr>
            <w:tcW w:w="2120" w:type="dxa"/>
            <w:vMerge/>
            <w:tcBorders>
              <w:left w:val="single" w:sz="8" w:space="0" w:color="auto"/>
              <w:right w:val="single" w:sz="8" w:space="0" w:color="auto"/>
            </w:tcBorders>
            <w:vAlign w:val="bottom"/>
          </w:tcPr>
          <w:p w:rsidR="0061585A" w:rsidRDefault="0061585A">
            <w:pPr>
              <w:rPr>
                <w:sz w:val="12"/>
                <w:szCs w:val="12"/>
              </w:rPr>
            </w:pPr>
          </w:p>
        </w:tc>
        <w:tc>
          <w:tcPr>
            <w:tcW w:w="1480" w:type="dxa"/>
            <w:vMerge/>
            <w:tcBorders>
              <w:right w:val="single" w:sz="8" w:space="0" w:color="auto"/>
            </w:tcBorders>
            <w:vAlign w:val="bottom"/>
          </w:tcPr>
          <w:p w:rsidR="0061585A" w:rsidRDefault="0061585A">
            <w:pPr>
              <w:rPr>
                <w:sz w:val="12"/>
                <w:szCs w:val="12"/>
              </w:rPr>
            </w:pPr>
          </w:p>
        </w:tc>
        <w:tc>
          <w:tcPr>
            <w:tcW w:w="1400" w:type="dxa"/>
            <w:vMerge/>
            <w:tcBorders>
              <w:right w:val="single" w:sz="8" w:space="0" w:color="auto"/>
            </w:tcBorders>
            <w:vAlign w:val="bottom"/>
          </w:tcPr>
          <w:p w:rsidR="0061585A" w:rsidRDefault="0061585A">
            <w:pPr>
              <w:rPr>
                <w:sz w:val="12"/>
                <w:szCs w:val="12"/>
              </w:rPr>
            </w:pPr>
          </w:p>
        </w:tc>
        <w:tc>
          <w:tcPr>
            <w:tcW w:w="2080" w:type="dxa"/>
            <w:tcBorders>
              <w:right w:val="single" w:sz="8" w:space="0" w:color="auto"/>
            </w:tcBorders>
            <w:vAlign w:val="bottom"/>
          </w:tcPr>
          <w:p w:rsidR="0061585A" w:rsidRDefault="0061585A">
            <w:pPr>
              <w:rPr>
                <w:sz w:val="12"/>
                <w:szCs w:val="12"/>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LastPrice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最新价</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当日该合约交易期</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间的最新成交价格</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BidPrice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申买价</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申买价</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BidVolume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number(10)</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申买量</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当前最好申买价上</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AskPrice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申卖价</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申卖价</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AskVolume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number(10)</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申卖量</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当前最好申卖价上</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349"/>
        </w:trPr>
        <w:tc>
          <w:tcPr>
            <w:tcW w:w="2120" w:type="dxa"/>
            <w:vMerge w:val="restart"/>
            <w:tcBorders>
              <w:left w:val="single" w:sz="8" w:space="0" w:color="auto"/>
              <w:right w:val="single" w:sz="8" w:space="0" w:color="auto"/>
            </w:tcBorders>
            <w:vAlign w:val="center"/>
          </w:tcPr>
          <w:p w:rsidR="0061585A" w:rsidRDefault="00DD205A">
            <w:pPr>
              <w:ind w:left="120"/>
              <w:jc w:val="both"/>
              <w:rPr>
                <w:sz w:val="20"/>
                <w:szCs w:val="20"/>
              </w:rPr>
            </w:pPr>
            <w:proofErr w:type="spellStart"/>
            <w:r>
              <w:rPr>
                <w:rFonts w:eastAsia="Times New Roman"/>
                <w:sz w:val="21"/>
                <w:szCs w:val="21"/>
              </w:rPr>
              <w:t>PreSettlementPrice</w:t>
            </w:r>
            <w:proofErr w:type="spellEnd"/>
          </w:p>
        </w:tc>
        <w:tc>
          <w:tcPr>
            <w:tcW w:w="1480" w:type="dxa"/>
            <w:vMerge w:val="restart"/>
            <w:tcBorders>
              <w:right w:val="single" w:sz="8" w:space="0" w:color="auto"/>
            </w:tcBorders>
            <w:vAlign w:val="center"/>
          </w:tcPr>
          <w:p w:rsidR="0061585A" w:rsidRDefault="00DD205A">
            <w:pPr>
              <w:ind w:left="100"/>
              <w:jc w:val="both"/>
              <w:rPr>
                <w:sz w:val="20"/>
                <w:szCs w:val="20"/>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结算</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上一日的结算价</w:t>
            </w:r>
          </w:p>
        </w:tc>
        <w:tc>
          <w:tcPr>
            <w:tcW w:w="30" w:type="dxa"/>
            <w:vAlign w:val="bottom"/>
          </w:tcPr>
          <w:p w:rsidR="0061585A" w:rsidRDefault="0061585A">
            <w:pPr>
              <w:rPr>
                <w:sz w:val="1"/>
                <w:szCs w:val="1"/>
              </w:rPr>
            </w:pPr>
          </w:p>
        </w:tc>
      </w:tr>
      <w:tr w:rsidR="0061585A">
        <w:trPr>
          <w:trHeight w:val="110"/>
        </w:trPr>
        <w:tc>
          <w:tcPr>
            <w:tcW w:w="2120" w:type="dxa"/>
            <w:vMerge/>
            <w:tcBorders>
              <w:left w:val="single" w:sz="8" w:space="0" w:color="auto"/>
              <w:right w:val="single" w:sz="8" w:space="0" w:color="auto"/>
            </w:tcBorders>
            <w:vAlign w:val="center"/>
          </w:tcPr>
          <w:p w:rsidR="0061585A" w:rsidRDefault="0061585A">
            <w:pPr>
              <w:jc w:val="both"/>
              <w:rPr>
                <w:sz w:val="9"/>
                <w:szCs w:val="9"/>
              </w:rPr>
            </w:pPr>
          </w:p>
        </w:tc>
        <w:tc>
          <w:tcPr>
            <w:tcW w:w="1480" w:type="dxa"/>
            <w:vMerge/>
            <w:tcBorders>
              <w:right w:val="single" w:sz="8" w:space="0" w:color="auto"/>
            </w:tcBorders>
            <w:vAlign w:val="center"/>
          </w:tcPr>
          <w:p w:rsidR="0061585A" w:rsidRDefault="0061585A">
            <w:pPr>
              <w:jc w:val="both"/>
              <w:rPr>
                <w:sz w:val="9"/>
                <w:szCs w:val="9"/>
              </w:rPr>
            </w:pPr>
          </w:p>
        </w:tc>
        <w:tc>
          <w:tcPr>
            <w:tcW w:w="1400" w:type="dxa"/>
            <w:vMerge/>
            <w:tcBorders>
              <w:right w:val="single" w:sz="8" w:space="0" w:color="auto"/>
            </w:tcBorders>
            <w:vAlign w:val="center"/>
          </w:tcPr>
          <w:p w:rsidR="0061585A" w:rsidRDefault="0061585A">
            <w:pPr>
              <w:jc w:val="both"/>
              <w:rPr>
                <w:sz w:val="9"/>
                <w:szCs w:val="9"/>
              </w:rPr>
            </w:pPr>
          </w:p>
        </w:tc>
        <w:tc>
          <w:tcPr>
            <w:tcW w:w="2080" w:type="dxa"/>
            <w:tcBorders>
              <w:right w:val="single" w:sz="8" w:space="0" w:color="auto"/>
            </w:tcBorders>
            <w:vAlign w:val="bottom"/>
          </w:tcPr>
          <w:p w:rsidR="0061585A" w:rsidRDefault="0061585A">
            <w:pPr>
              <w:rPr>
                <w:sz w:val="9"/>
                <w:szCs w:val="9"/>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center"/>
          </w:tcPr>
          <w:p w:rsidR="0061585A" w:rsidRDefault="0061585A">
            <w:pPr>
              <w:jc w:val="both"/>
              <w:rPr>
                <w:sz w:val="3"/>
                <w:szCs w:val="3"/>
              </w:rPr>
            </w:pPr>
          </w:p>
        </w:tc>
        <w:tc>
          <w:tcPr>
            <w:tcW w:w="1480" w:type="dxa"/>
            <w:tcBorders>
              <w:bottom w:val="single" w:sz="8" w:space="0" w:color="auto"/>
              <w:right w:val="single" w:sz="8" w:space="0" w:color="auto"/>
            </w:tcBorders>
            <w:vAlign w:val="center"/>
          </w:tcPr>
          <w:p w:rsidR="0061585A" w:rsidRDefault="0061585A">
            <w:pPr>
              <w:jc w:val="both"/>
              <w:rPr>
                <w:sz w:val="3"/>
                <w:szCs w:val="3"/>
              </w:rPr>
            </w:pPr>
          </w:p>
        </w:tc>
        <w:tc>
          <w:tcPr>
            <w:tcW w:w="1400" w:type="dxa"/>
            <w:tcBorders>
              <w:bottom w:val="single" w:sz="8" w:space="0" w:color="auto"/>
              <w:right w:val="single" w:sz="8" w:space="0" w:color="auto"/>
            </w:tcBorders>
            <w:vAlign w:val="center"/>
          </w:tcPr>
          <w:p w:rsidR="0061585A" w:rsidRDefault="0061585A">
            <w:pPr>
              <w:jc w:val="both"/>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380"/>
        </w:trPr>
        <w:tc>
          <w:tcPr>
            <w:tcW w:w="2120" w:type="dxa"/>
            <w:vMerge w:val="restart"/>
            <w:tcBorders>
              <w:left w:val="single" w:sz="8" w:space="0" w:color="auto"/>
              <w:right w:val="single" w:sz="8" w:space="0" w:color="auto"/>
            </w:tcBorders>
            <w:vAlign w:val="center"/>
          </w:tcPr>
          <w:p w:rsidR="0061585A" w:rsidRDefault="00DD205A">
            <w:pPr>
              <w:ind w:left="120"/>
              <w:jc w:val="both"/>
              <w:rPr>
                <w:sz w:val="20"/>
                <w:szCs w:val="20"/>
              </w:rPr>
            </w:pPr>
            <w:proofErr w:type="spellStart"/>
            <w:r>
              <w:rPr>
                <w:rFonts w:eastAsia="Times New Roman"/>
                <w:sz w:val="21"/>
                <w:szCs w:val="21"/>
              </w:rPr>
              <w:t>PreClosePrice</w:t>
            </w:r>
            <w:proofErr w:type="spellEnd"/>
          </w:p>
        </w:tc>
        <w:tc>
          <w:tcPr>
            <w:tcW w:w="1480" w:type="dxa"/>
            <w:vMerge w:val="restart"/>
            <w:tcBorders>
              <w:right w:val="single" w:sz="8" w:space="0" w:color="auto"/>
            </w:tcBorders>
            <w:vAlign w:val="center"/>
          </w:tcPr>
          <w:p w:rsidR="0061585A" w:rsidRDefault="00DD205A">
            <w:pPr>
              <w:ind w:left="100"/>
              <w:jc w:val="both"/>
              <w:rPr>
                <w:sz w:val="20"/>
                <w:szCs w:val="20"/>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收盘</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上一日收盘价</w:t>
            </w:r>
          </w:p>
        </w:tc>
        <w:tc>
          <w:tcPr>
            <w:tcW w:w="30" w:type="dxa"/>
            <w:vAlign w:val="bottom"/>
          </w:tcPr>
          <w:p w:rsidR="0061585A" w:rsidRDefault="0061585A">
            <w:pPr>
              <w:rPr>
                <w:sz w:val="1"/>
                <w:szCs w:val="1"/>
              </w:rPr>
            </w:pPr>
          </w:p>
        </w:tc>
      </w:tr>
      <w:tr w:rsidR="0061585A">
        <w:trPr>
          <w:trHeight w:val="141"/>
        </w:trPr>
        <w:tc>
          <w:tcPr>
            <w:tcW w:w="2120" w:type="dxa"/>
            <w:vMerge/>
            <w:tcBorders>
              <w:left w:val="single" w:sz="8" w:space="0" w:color="auto"/>
              <w:right w:val="single" w:sz="8" w:space="0" w:color="auto"/>
            </w:tcBorders>
            <w:vAlign w:val="bottom"/>
          </w:tcPr>
          <w:p w:rsidR="0061585A" w:rsidRDefault="0061585A">
            <w:pPr>
              <w:rPr>
                <w:sz w:val="12"/>
                <w:szCs w:val="12"/>
              </w:rPr>
            </w:pPr>
          </w:p>
        </w:tc>
        <w:tc>
          <w:tcPr>
            <w:tcW w:w="1480" w:type="dxa"/>
            <w:vMerge/>
            <w:tcBorders>
              <w:right w:val="single" w:sz="8" w:space="0" w:color="auto"/>
            </w:tcBorders>
            <w:vAlign w:val="bottom"/>
          </w:tcPr>
          <w:p w:rsidR="0061585A" w:rsidRDefault="0061585A">
            <w:pPr>
              <w:rPr>
                <w:sz w:val="12"/>
                <w:szCs w:val="12"/>
              </w:rPr>
            </w:pPr>
          </w:p>
        </w:tc>
        <w:tc>
          <w:tcPr>
            <w:tcW w:w="1400" w:type="dxa"/>
            <w:vMerge/>
            <w:tcBorders>
              <w:right w:val="single" w:sz="8" w:space="0" w:color="auto"/>
            </w:tcBorders>
            <w:vAlign w:val="bottom"/>
          </w:tcPr>
          <w:p w:rsidR="0061585A" w:rsidRDefault="0061585A">
            <w:pPr>
              <w:rPr>
                <w:sz w:val="12"/>
                <w:szCs w:val="12"/>
              </w:rPr>
            </w:pPr>
          </w:p>
        </w:tc>
        <w:tc>
          <w:tcPr>
            <w:tcW w:w="2080" w:type="dxa"/>
            <w:tcBorders>
              <w:right w:val="single" w:sz="8" w:space="0" w:color="auto"/>
            </w:tcBorders>
            <w:vAlign w:val="bottom"/>
          </w:tcPr>
          <w:p w:rsidR="0061585A" w:rsidRDefault="0061585A">
            <w:pPr>
              <w:rPr>
                <w:sz w:val="12"/>
                <w:szCs w:val="12"/>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PreOpenInterest</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number(19,3)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持仓量</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前最后持仓量，</w:t>
            </w:r>
            <w:r>
              <w:rPr>
                <w:rFonts w:ascii="宋体" w:eastAsia="宋体" w:hAnsi="宋体" w:cs="宋体" w:hint="eastAsia"/>
                <w:sz w:val="21"/>
                <w:szCs w:val="21"/>
              </w:rPr>
              <w:t>单边</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统计</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3"/>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OpenPrice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今开盘</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该期货合约开市前</w:t>
            </w:r>
          </w:p>
        </w:tc>
        <w:tc>
          <w:tcPr>
            <w:tcW w:w="30" w:type="dxa"/>
            <w:vAlign w:val="bottom"/>
          </w:tcPr>
          <w:p w:rsidR="0061585A" w:rsidRDefault="0061585A">
            <w:pPr>
              <w:rPr>
                <w:sz w:val="1"/>
                <w:szCs w:val="1"/>
              </w:rPr>
            </w:pPr>
          </w:p>
        </w:tc>
      </w:tr>
      <w:tr w:rsidR="0061585A">
        <w:trPr>
          <w:trHeight w:val="312"/>
        </w:trPr>
        <w:tc>
          <w:tcPr>
            <w:tcW w:w="2120" w:type="dxa"/>
            <w:vMerge/>
            <w:tcBorders>
              <w:left w:val="single" w:sz="8" w:space="0" w:color="auto"/>
              <w:right w:val="single" w:sz="8" w:space="0" w:color="auto"/>
            </w:tcBorders>
            <w:vAlign w:val="bottom"/>
          </w:tcPr>
          <w:p w:rsidR="0061585A" w:rsidRDefault="0061585A">
            <w:pPr>
              <w:ind w:left="120"/>
              <w:rPr>
                <w:sz w:val="24"/>
                <w:szCs w:val="24"/>
              </w:rPr>
            </w:pPr>
          </w:p>
        </w:tc>
        <w:tc>
          <w:tcPr>
            <w:tcW w:w="1480" w:type="dxa"/>
            <w:vMerge/>
            <w:tcBorders>
              <w:right w:val="single" w:sz="8" w:space="0" w:color="auto"/>
            </w:tcBorders>
            <w:vAlign w:val="bottom"/>
          </w:tcPr>
          <w:p w:rsidR="0061585A" w:rsidRDefault="0061585A">
            <w:pPr>
              <w:ind w:left="100"/>
              <w:rPr>
                <w:sz w:val="24"/>
                <w:szCs w:val="24"/>
              </w:rPr>
            </w:pPr>
          </w:p>
        </w:tc>
        <w:tc>
          <w:tcPr>
            <w:tcW w:w="1400" w:type="dxa"/>
            <w:vMerge/>
            <w:tcBorders>
              <w:right w:val="single" w:sz="8" w:space="0" w:color="auto"/>
            </w:tcBorders>
            <w:vAlign w:val="bottom"/>
          </w:tcPr>
          <w:p w:rsidR="0061585A" w:rsidRDefault="0061585A">
            <w:pPr>
              <w:spacing w:line="240" w:lineRule="exact"/>
              <w:ind w:left="100"/>
              <w:rPr>
                <w:sz w:val="24"/>
                <w:szCs w:val="24"/>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五分钟内经集合竞</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价产生的成交价格</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HighestPrice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最高价</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61585A" w:rsidRDefault="0061585A">
            <w:pPr>
              <w:rPr>
                <w:sz w:val="1"/>
                <w:szCs w:val="1"/>
              </w:rPr>
            </w:pPr>
          </w:p>
        </w:tc>
      </w:tr>
      <w:tr w:rsidR="0061585A">
        <w:trPr>
          <w:trHeight w:val="312"/>
        </w:trPr>
        <w:tc>
          <w:tcPr>
            <w:tcW w:w="2120" w:type="dxa"/>
            <w:vMerge/>
            <w:tcBorders>
              <w:left w:val="single" w:sz="8" w:space="0" w:color="auto"/>
              <w:right w:val="single" w:sz="8" w:space="0" w:color="auto"/>
            </w:tcBorders>
            <w:vAlign w:val="bottom"/>
          </w:tcPr>
          <w:p w:rsidR="0061585A" w:rsidRDefault="0061585A">
            <w:pPr>
              <w:ind w:left="120"/>
              <w:rPr>
                <w:sz w:val="24"/>
                <w:szCs w:val="24"/>
              </w:rPr>
            </w:pPr>
          </w:p>
        </w:tc>
        <w:tc>
          <w:tcPr>
            <w:tcW w:w="1480" w:type="dxa"/>
            <w:vMerge/>
            <w:tcBorders>
              <w:right w:val="single" w:sz="8" w:space="0" w:color="auto"/>
            </w:tcBorders>
            <w:vAlign w:val="bottom"/>
          </w:tcPr>
          <w:p w:rsidR="0061585A" w:rsidRDefault="0061585A">
            <w:pPr>
              <w:ind w:left="100"/>
              <w:rPr>
                <w:sz w:val="24"/>
                <w:szCs w:val="24"/>
              </w:rPr>
            </w:pPr>
          </w:p>
        </w:tc>
        <w:tc>
          <w:tcPr>
            <w:tcW w:w="1400" w:type="dxa"/>
            <w:vMerge/>
            <w:tcBorders>
              <w:right w:val="single" w:sz="8" w:space="0" w:color="auto"/>
            </w:tcBorders>
            <w:vAlign w:val="bottom"/>
          </w:tcPr>
          <w:p w:rsidR="0061585A" w:rsidRDefault="0061585A">
            <w:pPr>
              <w:spacing w:line="240" w:lineRule="exact"/>
              <w:ind w:left="100"/>
              <w:rPr>
                <w:sz w:val="24"/>
                <w:szCs w:val="24"/>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约成交价中的最高</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LowestPrice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最低价</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61585A" w:rsidRDefault="0061585A">
            <w:pPr>
              <w:rPr>
                <w:sz w:val="1"/>
                <w:szCs w:val="1"/>
              </w:rPr>
            </w:pPr>
          </w:p>
        </w:tc>
      </w:tr>
      <w:tr w:rsidR="0061585A">
        <w:trPr>
          <w:trHeight w:val="313"/>
        </w:trPr>
        <w:tc>
          <w:tcPr>
            <w:tcW w:w="2120" w:type="dxa"/>
            <w:vMerge/>
            <w:tcBorders>
              <w:left w:val="single" w:sz="8" w:space="0" w:color="auto"/>
              <w:right w:val="single" w:sz="8" w:space="0" w:color="auto"/>
            </w:tcBorders>
            <w:vAlign w:val="bottom"/>
          </w:tcPr>
          <w:p w:rsidR="0061585A" w:rsidRDefault="0061585A">
            <w:pPr>
              <w:ind w:left="120"/>
              <w:rPr>
                <w:sz w:val="24"/>
                <w:szCs w:val="24"/>
              </w:rPr>
            </w:pPr>
          </w:p>
        </w:tc>
        <w:tc>
          <w:tcPr>
            <w:tcW w:w="1480" w:type="dxa"/>
            <w:vMerge/>
            <w:tcBorders>
              <w:right w:val="single" w:sz="8" w:space="0" w:color="auto"/>
            </w:tcBorders>
            <w:vAlign w:val="bottom"/>
          </w:tcPr>
          <w:p w:rsidR="0061585A" w:rsidRDefault="0061585A">
            <w:pPr>
              <w:ind w:left="100"/>
              <w:rPr>
                <w:sz w:val="24"/>
                <w:szCs w:val="24"/>
              </w:rPr>
            </w:pPr>
          </w:p>
        </w:tc>
        <w:tc>
          <w:tcPr>
            <w:tcW w:w="1400" w:type="dxa"/>
            <w:vMerge/>
            <w:tcBorders>
              <w:right w:val="single" w:sz="8" w:space="0" w:color="auto"/>
            </w:tcBorders>
            <w:vAlign w:val="bottom"/>
          </w:tcPr>
          <w:p w:rsidR="0061585A" w:rsidRDefault="0061585A">
            <w:pPr>
              <w:spacing w:line="240" w:lineRule="exact"/>
              <w:ind w:left="100"/>
              <w:rPr>
                <w:sz w:val="24"/>
                <w:szCs w:val="24"/>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约成交价中的最低</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r>
              <w:rPr>
                <w:rFonts w:eastAsia="Times New Roman"/>
                <w:sz w:val="21"/>
                <w:szCs w:val="21"/>
              </w:rPr>
              <w:t>Volume</w:t>
            </w:r>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number(10)</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数量</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该合约在当日交易</w:t>
            </w:r>
          </w:p>
        </w:tc>
        <w:tc>
          <w:tcPr>
            <w:tcW w:w="30" w:type="dxa"/>
            <w:vAlign w:val="bottom"/>
          </w:tcPr>
          <w:p w:rsidR="0061585A" w:rsidRDefault="0061585A">
            <w:pPr>
              <w:rPr>
                <w:sz w:val="1"/>
                <w:szCs w:val="1"/>
              </w:rPr>
            </w:pPr>
          </w:p>
        </w:tc>
      </w:tr>
      <w:tr w:rsidR="0061585A">
        <w:trPr>
          <w:trHeight w:val="312"/>
        </w:trPr>
        <w:tc>
          <w:tcPr>
            <w:tcW w:w="2120" w:type="dxa"/>
            <w:vMerge/>
            <w:tcBorders>
              <w:left w:val="single" w:sz="8" w:space="0" w:color="auto"/>
              <w:right w:val="single" w:sz="8" w:space="0" w:color="auto"/>
            </w:tcBorders>
            <w:vAlign w:val="bottom"/>
          </w:tcPr>
          <w:p w:rsidR="0061585A" w:rsidRDefault="0061585A">
            <w:pPr>
              <w:ind w:left="120"/>
              <w:rPr>
                <w:sz w:val="24"/>
                <w:szCs w:val="24"/>
              </w:rPr>
            </w:pPr>
          </w:p>
        </w:tc>
        <w:tc>
          <w:tcPr>
            <w:tcW w:w="1480" w:type="dxa"/>
            <w:vMerge/>
            <w:tcBorders>
              <w:right w:val="single" w:sz="8" w:space="0" w:color="auto"/>
            </w:tcBorders>
            <w:vAlign w:val="bottom"/>
          </w:tcPr>
          <w:p w:rsidR="0061585A" w:rsidRDefault="0061585A">
            <w:pPr>
              <w:ind w:left="100"/>
              <w:rPr>
                <w:sz w:val="24"/>
                <w:szCs w:val="24"/>
              </w:rPr>
            </w:pPr>
          </w:p>
        </w:tc>
        <w:tc>
          <w:tcPr>
            <w:tcW w:w="1400" w:type="dxa"/>
            <w:vMerge/>
            <w:tcBorders>
              <w:right w:val="single" w:sz="8" w:space="0" w:color="auto"/>
            </w:tcBorders>
            <w:vAlign w:val="bottom"/>
          </w:tcPr>
          <w:p w:rsidR="0061585A" w:rsidRDefault="0061585A">
            <w:pPr>
              <w:spacing w:line="240" w:lineRule="exact"/>
              <w:ind w:left="100"/>
              <w:rPr>
                <w:sz w:val="24"/>
                <w:szCs w:val="24"/>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期</w:t>
            </w:r>
            <w:r>
              <w:rPr>
                <w:rFonts w:ascii="宋体" w:eastAsia="宋体" w:hAnsi="宋体" w:cs="宋体" w:hint="eastAsia"/>
                <w:sz w:val="21"/>
                <w:szCs w:val="21"/>
              </w:rPr>
              <w:t>间</w:t>
            </w:r>
            <w:r>
              <w:rPr>
                <w:rFonts w:ascii="宋体" w:eastAsia="宋体" w:hAnsi="宋体" w:cs="宋体"/>
                <w:sz w:val="21"/>
                <w:szCs w:val="21"/>
              </w:rPr>
              <w:t>所有成交合约</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的数量</w:t>
            </w:r>
            <w:r>
              <w:rPr>
                <w:rFonts w:ascii="宋体" w:eastAsia="宋体" w:hAnsi="宋体" w:cs="宋体" w:hint="eastAsia"/>
                <w:sz w:val="21"/>
                <w:szCs w:val="21"/>
              </w:rPr>
              <w:t>，</w:t>
            </w:r>
            <w:r>
              <w:rPr>
                <w:rFonts w:ascii="宋体" w:eastAsia="宋体" w:hAnsi="宋体" w:cs="宋体"/>
                <w:sz w:val="21"/>
                <w:szCs w:val="21"/>
              </w:rPr>
              <w:t>单边统计</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r>
              <w:rPr>
                <w:rFonts w:eastAsia="Times New Roman"/>
                <w:sz w:val="21"/>
                <w:szCs w:val="21"/>
              </w:rPr>
              <w:t>Turnover</w:t>
            </w:r>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number(19,3)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成交金额</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该合约完成交易的</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市值</w:t>
            </w:r>
            <w:r>
              <w:rPr>
                <w:rFonts w:ascii="宋体" w:eastAsia="宋体" w:hAnsi="宋体" w:cs="宋体" w:hint="eastAsia"/>
                <w:sz w:val="21"/>
                <w:szCs w:val="21"/>
              </w:rPr>
              <w:t>，</w:t>
            </w:r>
            <w:r>
              <w:rPr>
                <w:rFonts w:ascii="宋体" w:eastAsia="宋体" w:hAnsi="宋体" w:cs="宋体"/>
                <w:sz w:val="21"/>
                <w:szCs w:val="21"/>
              </w:rPr>
              <w:t>单边统计</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722"/>
        </w:trPr>
        <w:tc>
          <w:tcPr>
            <w:tcW w:w="2120" w:type="dxa"/>
            <w:vAlign w:val="bottom"/>
          </w:tcPr>
          <w:p w:rsidR="0061585A" w:rsidRDefault="0061585A">
            <w:pPr>
              <w:rPr>
                <w:sz w:val="24"/>
                <w:szCs w:val="24"/>
              </w:rPr>
            </w:pPr>
          </w:p>
        </w:tc>
        <w:tc>
          <w:tcPr>
            <w:tcW w:w="1480" w:type="dxa"/>
            <w:vAlign w:val="bottom"/>
          </w:tcPr>
          <w:p w:rsidR="0061585A" w:rsidRDefault="0061585A">
            <w:pPr>
              <w:rPr>
                <w:sz w:val="24"/>
                <w:szCs w:val="24"/>
              </w:rPr>
            </w:pPr>
          </w:p>
        </w:tc>
        <w:tc>
          <w:tcPr>
            <w:tcW w:w="1400" w:type="dxa"/>
            <w:vAlign w:val="bottom"/>
          </w:tcPr>
          <w:p w:rsidR="0061585A" w:rsidRDefault="00DD205A">
            <w:pPr>
              <w:ind w:left="520"/>
              <w:rPr>
                <w:sz w:val="20"/>
                <w:szCs w:val="20"/>
              </w:rPr>
            </w:pPr>
            <w:r>
              <w:rPr>
                <w:rFonts w:eastAsia="Times New Roman"/>
                <w:sz w:val="21"/>
                <w:szCs w:val="21"/>
              </w:rPr>
              <w:t>3</w:t>
            </w:r>
          </w:p>
        </w:tc>
        <w:tc>
          <w:tcPr>
            <w:tcW w:w="2080" w:type="dxa"/>
            <w:vAlign w:val="bottom"/>
          </w:tcPr>
          <w:p w:rsidR="0061585A" w:rsidRDefault="0061585A">
            <w:pPr>
              <w:rPr>
                <w:sz w:val="24"/>
                <w:szCs w:val="24"/>
              </w:rPr>
            </w:pPr>
          </w:p>
        </w:tc>
        <w:tc>
          <w:tcPr>
            <w:tcW w:w="30" w:type="dxa"/>
            <w:vAlign w:val="bottom"/>
          </w:tcPr>
          <w:p w:rsidR="0061585A" w:rsidRDefault="0061585A">
            <w:pPr>
              <w:rPr>
                <w:sz w:val="1"/>
                <w:szCs w:val="1"/>
              </w:rPr>
            </w:pPr>
          </w:p>
        </w:tc>
      </w:tr>
    </w:tbl>
    <w:p w:rsidR="0061585A" w:rsidRDefault="0061585A">
      <w:pPr>
        <w:sectPr w:rsidR="0061585A">
          <w:pgSz w:w="11900" w:h="16838"/>
          <w:pgMar w:top="1440" w:right="1440" w:bottom="654" w:left="1440" w:header="680" w:footer="0" w:gutter="0"/>
          <w:cols w:space="720" w:equalWidth="0">
            <w:col w:w="9026"/>
          </w:cols>
        </w:sectPr>
      </w:pPr>
    </w:p>
    <w:p w:rsidR="0061585A" w:rsidRDefault="0061585A">
      <w:pPr>
        <w:spacing w:line="1" w:lineRule="exact"/>
        <w:rPr>
          <w:sz w:val="20"/>
          <w:szCs w:val="20"/>
        </w:rPr>
      </w:pPr>
      <w:bookmarkStart w:id="4" w:name="page5"/>
      <w:bookmarkEnd w:id="4"/>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1400"/>
        <w:gridCol w:w="2080"/>
        <w:gridCol w:w="30"/>
      </w:tblGrid>
      <w:tr w:rsidR="0061585A">
        <w:trPr>
          <w:trHeight w:val="261"/>
        </w:trPr>
        <w:tc>
          <w:tcPr>
            <w:tcW w:w="2120" w:type="dxa"/>
            <w:vMerge w:val="restart"/>
            <w:tcBorders>
              <w:top w:val="single" w:sz="4" w:space="0" w:color="auto"/>
              <w:left w:val="single" w:sz="8" w:space="0" w:color="auto"/>
              <w:right w:val="single" w:sz="8" w:space="0" w:color="auto"/>
            </w:tcBorders>
            <w:vAlign w:val="center"/>
          </w:tcPr>
          <w:p w:rsidR="0061585A" w:rsidRDefault="00DD205A">
            <w:pPr>
              <w:ind w:left="120"/>
              <w:jc w:val="both"/>
            </w:pPr>
            <w:proofErr w:type="spellStart"/>
            <w:r>
              <w:rPr>
                <w:rFonts w:eastAsia="Times New Roman"/>
                <w:sz w:val="21"/>
                <w:szCs w:val="21"/>
              </w:rPr>
              <w:t>OpenInterest</w:t>
            </w:r>
            <w:proofErr w:type="spellEnd"/>
          </w:p>
        </w:tc>
        <w:tc>
          <w:tcPr>
            <w:tcW w:w="1480" w:type="dxa"/>
            <w:vMerge w:val="restart"/>
            <w:tcBorders>
              <w:top w:val="single" w:sz="4" w:space="0" w:color="auto"/>
              <w:right w:val="single" w:sz="8" w:space="0" w:color="auto"/>
            </w:tcBorders>
            <w:vAlign w:val="center"/>
          </w:tcPr>
          <w:p w:rsidR="0061585A" w:rsidRDefault="00DD205A">
            <w:pPr>
              <w:ind w:left="100"/>
              <w:jc w:val="both"/>
            </w:pPr>
            <w:r>
              <w:rPr>
                <w:rFonts w:eastAsia="Times New Roman"/>
                <w:sz w:val="21"/>
                <w:szCs w:val="21"/>
              </w:rPr>
              <w:t>number(19,3)</w:t>
            </w:r>
          </w:p>
        </w:tc>
        <w:tc>
          <w:tcPr>
            <w:tcW w:w="1400" w:type="dxa"/>
            <w:vMerge w:val="restart"/>
            <w:tcBorders>
              <w:top w:val="single" w:sz="4" w:space="0" w:color="auto"/>
              <w:right w:val="single" w:sz="8" w:space="0" w:color="auto"/>
            </w:tcBorders>
            <w:vAlign w:val="center"/>
          </w:tcPr>
          <w:p w:rsidR="0061585A" w:rsidRDefault="00DD205A">
            <w:pPr>
              <w:spacing w:line="240" w:lineRule="exact"/>
              <w:ind w:left="100"/>
              <w:jc w:val="both"/>
            </w:pPr>
            <w:r>
              <w:rPr>
                <w:rFonts w:ascii="宋体" w:eastAsia="宋体" w:hAnsi="宋体" w:cs="宋体"/>
                <w:sz w:val="21"/>
                <w:szCs w:val="21"/>
              </w:rPr>
              <w:t>持仓量</w:t>
            </w:r>
          </w:p>
        </w:tc>
        <w:tc>
          <w:tcPr>
            <w:tcW w:w="2080" w:type="dxa"/>
            <w:vMerge w:val="restart"/>
            <w:tcBorders>
              <w:top w:val="single" w:sz="4" w:space="0" w:color="auto"/>
              <w:right w:val="single" w:sz="8" w:space="0" w:color="auto"/>
            </w:tcBorders>
            <w:vAlign w:val="center"/>
          </w:tcPr>
          <w:p w:rsidR="0061585A" w:rsidRDefault="00DD205A">
            <w:pPr>
              <w:spacing w:line="240" w:lineRule="exact"/>
              <w:ind w:left="100"/>
              <w:jc w:val="both"/>
              <w:rPr>
                <w:sz w:val="20"/>
                <w:szCs w:val="20"/>
              </w:rPr>
            </w:pPr>
            <w:r>
              <w:rPr>
                <w:rFonts w:ascii="宋体" w:eastAsia="宋体" w:hAnsi="宋体" w:cs="宋体"/>
                <w:sz w:val="21"/>
                <w:szCs w:val="21"/>
              </w:rPr>
              <w:t>持仓量，</w:t>
            </w:r>
            <w:r>
              <w:rPr>
                <w:rFonts w:ascii="宋体" w:eastAsia="宋体" w:hAnsi="宋体" w:cs="宋体" w:hint="eastAsia"/>
                <w:sz w:val="21"/>
                <w:szCs w:val="21"/>
              </w:rPr>
              <w:t>单边</w:t>
            </w:r>
            <w:r>
              <w:rPr>
                <w:rFonts w:ascii="宋体" w:eastAsia="宋体" w:hAnsi="宋体" w:cs="宋体"/>
                <w:sz w:val="21"/>
                <w:szCs w:val="21"/>
              </w:rPr>
              <w:t>统</w:t>
            </w:r>
            <w:r>
              <w:rPr>
                <w:rFonts w:ascii="宋体" w:eastAsia="宋体" w:hAnsi="宋体" w:cs="宋体" w:hint="eastAsia"/>
                <w:sz w:val="21"/>
                <w:szCs w:val="21"/>
              </w:rPr>
              <w:t>计</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vMerge/>
            <w:tcBorders>
              <w:right w:val="single" w:sz="8" w:space="0" w:color="auto"/>
            </w:tcBorders>
            <w:vAlign w:val="bottom"/>
          </w:tcPr>
          <w:p w:rsidR="0061585A" w:rsidRDefault="0061585A">
            <w:pPr>
              <w:spacing w:line="240" w:lineRule="exact"/>
              <w:ind w:left="100"/>
              <w:rPr>
                <w:sz w:val="20"/>
                <w:szCs w:val="20"/>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ClosePrice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今收盘</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该合约当日交易的</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最后一笔成交价格</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SettlementPrice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今结算</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该合约当日成交价</w:t>
            </w:r>
          </w:p>
        </w:tc>
        <w:tc>
          <w:tcPr>
            <w:tcW w:w="30" w:type="dxa"/>
            <w:vAlign w:val="bottom"/>
          </w:tcPr>
          <w:p w:rsidR="0061585A" w:rsidRDefault="0061585A">
            <w:pPr>
              <w:rPr>
                <w:sz w:val="1"/>
                <w:szCs w:val="1"/>
              </w:rPr>
            </w:pPr>
          </w:p>
        </w:tc>
      </w:tr>
      <w:tr w:rsidR="0061585A">
        <w:trPr>
          <w:trHeight w:val="312"/>
        </w:trPr>
        <w:tc>
          <w:tcPr>
            <w:tcW w:w="2120" w:type="dxa"/>
            <w:vMerge/>
            <w:tcBorders>
              <w:left w:val="single" w:sz="8" w:space="0" w:color="auto"/>
              <w:right w:val="single" w:sz="8" w:space="0" w:color="auto"/>
            </w:tcBorders>
            <w:vAlign w:val="bottom"/>
          </w:tcPr>
          <w:p w:rsidR="0061585A" w:rsidRDefault="0061585A">
            <w:pPr>
              <w:ind w:left="120"/>
              <w:rPr>
                <w:sz w:val="24"/>
                <w:szCs w:val="24"/>
              </w:rPr>
            </w:pPr>
          </w:p>
        </w:tc>
        <w:tc>
          <w:tcPr>
            <w:tcW w:w="1480" w:type="dxa"/>
            <w:vMerge/>
            <w:tcBorders>
              <w:right w:val="single" w:sz="8" w:space="0" w:color="auto"/>
            </w:tcBorders>
            <w:vAlign w:val="bottom"/>
          </w:tcPr>
          <w:p w:rsidR="0061585A" w:rsidRDefault="0061585A">
            <w:pPr>
              <w:ind w:left="100"/>
              <w:rPr>
                <w:sz w:val="24"/>
                <w:szCs w:val="24"/>
              </w:rPr>
            </w:pPr>
          </w:p>
        </w:tc>
        <w:tc>
          <w:tcPr>
            <w:tcW w:w="1400" w:type="dxa"/>
            <w:vMerge/>
            <w:tcBorders>
              <w:right w:val="single" w:sz="8" w:space="0" w:color="auto"/>
            </w:tcBorders>
            <w:vAlign w:val="bottom"/>
          </w:tcPr>
          <w:p w:rsidR="0061585A" w:rsidRDefault="0061585A">
            <w:pPr>
              <w:spacing w:line="240" w:lineRule="exact"/>
              <w:ind w:left="100"/>
              <w:rPr>
                <w:sz w:val="24"/>
                <w:szCs w:val="24"/>
              </w:rPr>
            </w:pPr>
          </w:p>
        </w:tc>
        <w:tc>
          <w:tcPr>
            <w:tcW w:w="2080" w:type="dxa"/>
            <w:tcBorders>
              <w:right w:val="single" w:sz="8" w:space="0" w:color="auto"/>
            </w:tcBorders>
            <w:vAlign w:val="bottom"/>
          </w:tcPr>
          <w:p w:rsidR="0061585A" w:rsidRDefault="00DD205A">
            <w:pPr>
              <w:spacing w:line="240" w:lineRule="exact"/>
              <w:ind w:left="100"/>
              <w:rPr>
                <w:sz w:val="20"/>
                <w:szCs w:val="20"/>
              </w:rPr>
            </w:pPr>
            <w:proofErr w:type="gramStart"/>
            <w:r>
              <w:rPr>
                <w:rFonts w:ascii="宋体" w:eastAsia="宋体" w:hAnsi="宋体" w:cs="宋体"/>
                <w:sz w:val="21"/>
                <w:szCs w:val="21"/>
              </w:rPr>
              <w:t>格按成交量</w:t>
            </w:r>
            <w:proofErr w:type="gramEnd"/>
            <w:r>
              <w:rPr>
                <w:rFonts w:ascii="宋体" w:eastAsia="宋体" w:hAnsi="宋体" w:cs="宋体"/>
                <w:sz w:val="21"/>
                <w:szCs w:val="21"/>
              </w:rPr>
              <w:t>的加权</w:t>
            </w:r>
          </w:p>
        </w:tc>
        <w:tc>
          <w:tcPr>
            <w:tcW w:w="30" w:type="dxa"/>
            <w:vAlign w:val="bottom"/>
          </w:tcPr>
          <w:p w:rsidR="0061585A" w:rsidRDefault="0061585A">
            <w:pPr>
              <w:rPr>
                <w:sz w:val="1"/>
                <w:szCs w:val="1"/>
              </w:rPr>
            </w:pPr>
          </w:p>
        </w:tc>
      </w:tr>
      <w:tr w:rsidR="0061585A">
        <w:trPr>
          <w:trHeight w:val="312"/>
        </w:trPr>
        <w:tc>
          <w:tcPr>
            <w:tcW w:w="2120" w:type="dxa"/>
            <w:vMerge/>
            <w:tcBorders>
              <w:left w:val="single" w:sz="8" w:space="0" w:color="auto"/>
              <w:right w:val="single" w:sz="8" w:space="0" w:color="auto"/>
            </w:tcBorders>
            <w:vAlign w:val="bottom"/>
          </w:tcPr>
          <w:p w:rsidR="0061585A" w:rsidRDefault="0061585A">
            <w:pPr>
              <w:ind w:left="120"/>
              <w:rPr>
                <w:sz w:val="24"/>
                <w:szCs w:val="24"/>
              </w:rPr>
            </w:pPr>
          </w:p>
        </w:tc>
        <w:tc>
          <w:tcPr>
            <w:tcW w:w="1480" w:type="dxa"/>
            <w:vMerge/>
            <w:tcBorders>
              <w:right w:val="single" w:sz="8" w:space="0" w:color="auto"/>
            </w:tcBorders>
            <w:vAlign w:val="bottom"/>
          </w:tcPr>
          <w:p w:rsidR="0061585A" w:rsidRDefault="0061585A">
            <w:pPr>
              <w:ind w:left="100"/>
              <w:rPr>
                <w:sz w:val="24"/>
                <w:szCs w:val="24"/>
              </w:rPr>
            </w:pPr>
          </w:p>
        </w:tc>
        <w:tc>
          <w:tcPr>
            <w:tcW w:w="1400" w:type="dxa"/>
            <w:vMerge/>
            <w:tcBorders>
              <w:right w:val="single" w:sz="8" w:space="0" w:color="auto"/>
            </w:tcBorders>
            <w:vAlign w:val="bottom"/>
          </w:tcPr>
          <w:p w:rsidR="0061585A" w:rsidRDefault="0061585A">
            <w:pPr>
              <w:spacing w:line="240" w:lineRule="exact"/>
              <w:ind w:left="100"/>
              <w:rPr>
                <w:sz w:val="24"/>
                <w:szCs w:val="24"/>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平均价，当日无成交</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的，按上一日结算价</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373"/>
        </w:trPr>
        <w:tc>
          <w:tcPr>
            <w:tcW w:w="2120" w:type="dxa"/>
            <w:vMerge w:val="restart"/>
            <w:tcBorders>
              <w:left w:val="single" w:sz="8" w:space="0" w:color="auto"/>
              <w:right w:val="single" w:sz="8" w:space="0" w:color="auto"/>
            </w:tcBorders>
            <w:vAlign w:val="center"/>
          </w:tcPr>
          <w:p w:rsidR="0061585A" w:rsidRDefault="00DD205A">
            <w:pPr>
              <w:ind w:left="120"/>
              <w:jc w:val="both"/>
              <w:rPr>
                <w:sz w:val="20"/>
                <w:szCs w:val="20"/>
              </w:rPr>
            </w:pPr>
            <w:proofErr w:type="spellStart"/>
            <w:r>
              <w:rPr>
                <w:rFonts w:eastAsia="Times New Roman"/>
                <w:sz w:val="21"/>
                <w:szCs w:val="21"/>
              </w:rPr>
              <w:t>UpperLimitPrice</w:t>
            </w:r>
            <w:proofErr w:type="spellEnd"/>
          </w:p>
        </w:tc>
        <w:tc>
          <w:tcPr>
            <w:tcW w:w="1480" w:type="dxa"/>
            <w:vMerge w:val="restart"/>
            <w:tcBorders>
              <w:right w:val="single" w:sz="8" w:space="0" w:color="auto"/>
            </w:tcBorders>
            <w:vAlign w:val="center"/>
          </w:tcPr>
          <w:p w:rsidR="0061585A" w:rsidRDefault="00DD205A">
            <w:pPr>
              <w:ind w:left="100"/>
              <w:jc w:val="both"/>
              <w:rPr>
                <w:sz w:val="20"/>
                <w:szCs w:val="20"/>
              </w:rPr>
            </w:pPr>
            <w:r>
              <w:rPr>
                <w:rFonts w:eastAsia="Times New Roman"/>
                <w:sz w:val="21"/>
                <w:szCs w:val="21"/>
              </w:rPr>
              <w:t>number(12,3)</w:t>
            </w:r>
          </w:p>
        </w:tc>
        <w:tc>
          <w:tcPr>
            <w:tcW w:w="1400" w:type="dxa"/>
            <w:vMerge w:val="restart"/>
            <w:tcBorders>
              <w:right w:val="single" w:sz="8" w:space="0" w:color="auto"/>
            </w:tcBorders>
            <w:vAlign w:val="center"/>
          </w:tcPr>
          <w:p w:rsidR="0061585A" w:rsidRDefault="00DD205A">
            <w:pPr>
              <w:spacing w:line="240" w:lineRule="exact"/>
              <w:ind w:left="100"/>
              <w:jc w:val="both"/>
              <w:rPr>
                <w:sz w:val="20"/>
                <w:szCs w:val="20"/>
              </w:rPr>
            </w:pPr>
            <w:r>
              <w:rPr>
                <w:rFonts w:ascii="宋体" w:eastAsia="宋体" w:hAnsi="宋体" w:cs="宋体"/>
                <w:sz w:val="21"/>
                <w:szCs w:val="21"/>
              </w:rPr>
              <w:t>涨停板价</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涨停板价</w:t>
            </w:r>
          </w:p>
        </w:tc>
        <w:tc>
          <w:tcPr>
            <w:tcW w:w="30" w:type="dxa"/>
            <w:vAlign w:val="bottom"/>
          </w:tcPr>
          <w:p w:rsidR="0061585A" w:rsidRDefault="0061585A">
            <w:pPr>
              <w:rPr>
                <w:sz w:val="1"/>
                <w:szCs w:val="1"/>
              </w:rPr>
            </w:pPr>
          </w:p>
        </w:tc>
      </w:tr>
      <w:tr w:rsidR="0061585A">
        <w:trPr>
          <w:trHeight w:val="136"/>
        </w:trPr>
        <w:tc>
          <w:tcPr>
            <w:tcW w:w="2120" w:type="dxa"/>
            <w:vMerge/>
            <w:tcBorders>
              <w:left w:val="single" w:sz="8" w:space="0" w:color="auto"/>
              <w:right w:val="single" w:sz="8" w:space="0" w:color="auto"/>
            </w:tcBorders>
            <w:vAlign w:val="bottom"/>
          </w:tcPr>
          <w:p w:rsidR="0061585A" w:rsidRDefault="0061585A">
            <w:pPr>
              <w:rPr>
                <w:sz w:val="11"/>
                <w:szCs w:val="11"/>
              </w:rPr>
            </w:pPr>
          </w:p>
        </w:tc>
        <w:tc>
          <w:tcPr>
            <w:tcW w:w="1480" w:type="dxa"/>
            <w:vMerge/>
            <w:tcBorders>
              <w:right w:val="single" w:sz="8" w:space="0" w:color="auto"/>
            </w:tcBorders>
            <w:vAlign w:val="bottom"/>
          </w:tcPr>
          <w:p w:rsidR="0061585A" w:rsidRDefault="0061585A">
            <w:pPr>
              <w:rPr>
                <w:sz w:val="11"/>
                <w:szCs w:val="11"/>
              </w:rPr>
            </w:pPr>
          </w:p>
        </w:tc>
        <w:tc>
          <w:tcPr>
            <w:tcW w:w="1400" w:type="dxa"/>
            <w:vMerge/>
            <w:tcBorders>
              <w:right w:val="single" w:sz="8" w:space="0" w:color="auto"/>
            </w:tcBorders>
            <w:vAlign w:val="bottom"/>
          </w:tcPr>
          <w:p w:rsidR="0061585A" w:rsidRDefault="0061585A">
            <w:pPr>
              <w:rPr>
                <w:sz w:val="11"/>
                <w:szCs w:val="11"/>
              </w:rPr>
            </w:pPr>
          </w:p>
        </w:tc>
        <w:tc>
          <w:tcPr>
            <w:tcW w:w="2080" w:type="dxa"/>
            <w:tcBorders>
              <w:right w:val="single" w:sz="8" w:space="0" w:color="auto"/>
            </w:tcBorders>
            <w:vAlign w:val="bottom"/>
          </w:tcPr>
          <w:p w:rsidR="0061585A" w:rsidRDefault="0061585A">
            <w:pPr>
              <w:rPr>
                <w:sz w:val="11"/>
                <w:szCs w:val="11"/>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447"/>
        </w:trPr>
        <w:tc>
          <w:tcPr>
            <w:tcW w:w="2120" w:type="dxa"/>
            <w:tcBorders>
              <w:left w:val="single" w:sz="8" w:space="0" w:color="auto"/>
              <w:right w:val="single" w:sz="8" w:space="0" w:color="auto"/>
            </w:tcBorders>
            <w:vAlign w:val="center"/>
          </w:tcPr>
          <w:p w:rsidR="0061585A" w:rsidRDefault="00DD205A">
            <w:pPr>
              <w:ind w:left="120"/>
              <w:jc w:val="both"/>
              <w:rPr>
                <w:sz w:val="20"/>
                <w:szCs w:val="20"/>
              </w:rPr>
            </w:pPr>
            <w:proofErr w:type="spellStart"/>
            <w:r>
              <w:rPr>
                <w:rFonts w:eastAsia="Times New Roman"/>
                <w:sz w:val="21"/>
                <w:szCs w:val="21"/>
              </w:rPr>
              <w:t>LowerLimitPrice</w:t>
            </w:r>
            <w:proofErr w:type="spellEnd"/>
          </w:p>
        </w:tc>
        <w:tc>
          <w:tcPr>
            <w:tcW w:w="1480" w:type="dxa"/>
            <w:tcBorders>
              <w:right w:val="single" w:sz="8" w:space="0" w:color="auto"/>
            </w:tcBorders>
            <w:vAlign w:val="center"/>
          </w:tcPr>
          <w:p w:rsidR="0061585A" w:rsidRDefault="00DD205A">
            <w:pPr>
              <w:ind w:left="100"/>
              <w:jc w:val="both"/>
              <w:rPr>
                <w:sz w:val="20"/>
                <w:szCs w:val="20"/>
              </w:rPr>
            </w:pPr>
            <w:r>
              <w:rPr>
                <w:rFonts w:eastAsia="Times New Roman"/>
                <w:sz w:val="21"/>
                <w:szCs w:val="21"/>
              </w:rPr>
              <w:t>number(12,3)</w:t>
            </w:r>
          </w:p>
        </w:tc>
        <w:tc>
          <w:tcPr>
            <w:tcW w:w="1400" w:type="dxa"/>
            <w:tcBorders>
              <w:right w:val="single" w:sz="8" w:space="0" w:color="auto"/>
            </w:tcBorders>
            <w:vAlign w:val="center"/>
          </w:tcPr>
          <w:p w:rsidR="0061585A" w:rsidRDefault="00DD205A">
            <w:pPr>
              <w:spacing w:line="240" w:lineRule="exact"/>
              <w:ind w:left="100"/>
              <w:jc w:val="both"/>
              <w:rPr>
                <w:sz w:val="20"/>
                <w:szCs w:val="20"/>
              </w:rPr>
            </w:pPr>
            <w:r>
              <w:rPr>
                <w:rFonts w:ascii="宋体" w:eastAsia="宋体" w:hAnsi="宋体" w:cs="宋体"/>
                <w:sz w:val="21"/>
                <w:szCs w:val="21"/>
              </w:rPr>
              <w:t>跌停板价</w:t>
            </w:r>
          </w:p>
        </w:tc>
        <w:tc>
          <w:tcPr>
            <w:tcW w:w="2080" w:type="dxa"/>
            <w:tcBorders>
              <w:right w:val="single" w:sz="8" w:space="0" w:color="auto"/>
            </w:tcBorders>
            <w:vAlign w:val="center"/>
          </w:tcPr>
          <w:p w:rsidR="0061585A" w:rsidRDefault="00DD205A">
            <w:pPr>
              <w:spacing w:line="240" w:lineRule="exact"/>
              <w:ind w:left="100"/>
              <w:jc w:val="both"/>
              <w:rPr>
                <w:sz w:val="20"/>
                <w:szCs w:val="20"/>
              </w:rPr>
            </w:pPr>
            <w:r>
              <w:rPr>
                <w:rFonts w:ascii="宋体" w:eastAsia="宋体" w:hAnsi="宋体" w:cs="宋体"/>
                <w:sz w:val="21"/>
                <w:szCs w:val="21"/>
              </w:rPr>
              <w:t>跌停板价</w:t>
            </w:r>
          </w:p>
        </w:tc>
        <w:tc>
          <w:tcPr>
            <w:tcW w:w="30" w:type="dxa"/>
            <w:vAlign w:val="bottom"/>
          </w:tcPr>
          <w:p w:rsidR="0061585A" w:rsidRDefault="0061585A">
            <w:pPr>
              <w:rPr>
                <w:sz w:val="1"/>
                <w:szCs w:val="1"/>
              </w:rPr>
            </w:pPr>
          </w:p>
        </w:tc>
      </w:tr>
      <w:tr w:rsidR="0061585A">
        <w:trPr>
          <w:trHeight w:val="80"/>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1"/>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PreDelta</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number(10,4)</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虚实度</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期权用的昨日虚实</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度</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3"/>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CurrDelta</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number(10,4)</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今虚实度</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期权用的今日虚实</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度</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UpdateTime</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char(8)</w:t>
            </w:r>
          </w:p>
        </w:tc>
        <w:tc>
          <w:tcPr>
            <w:tcW w:w="140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最后修改时</w:t>
            </w:r>
          </w:p>
        </w:tc>
        <w:tc>
          <w:tcPr>
            <w:tcW w:w="2080" w:type="dxa"/>
            <w:vMerge w:val="restart"/>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最后修改时间</w:t>
            </w:r>
          </w:p>
        </w:tc>
        <w:tc>
          <w:tcPr>
            <w:tcW w:w="30" w:type="dxa"/>
            <w:vAlign w:val="bottom"/>
          </w:tcPr>
          <w:p w:rsidR="0061585A" w:rsidRDefault="0061585A">
            <w:pPr>
              <w:rPr>
                <w:sz w:val="1"/>
                <w:szCs w:val="1"/>
              </w:rPr>
            </w:pPr>
          </w:p>
        </w:tc>
      </w:tr>
      <w:tr w:rsidR="0061585A">
        <w:trPr>
          <w:trHeight w:val="15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val="restart"/>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间</w:t>
            </w:r>
          </w:p>
        </w:tc>
        <w:tc>
          <w:tcPr>
            <w:tcW w:w="2080" w:type="dxa"/>
            <w:vMerge/>
            <w:tcBorders>
              <w:right w:val="single" w:sz="8" w:space="0" w:color="auto"/>
            </w:tcBorders>
            <w:vAlign w:val="bottom"/>
          </w:tcPr>
          <w:p w:rsidR="0061585A" w:rsidRDefault="0061585A">
            <w:pPr>
              <w:rPr>
                <w:sz w:val="13"/>
                <w:szCs w:val="13"/>
              </w:rPr>
            </w:pPr>
          </w:p>
        </w:tc>
        <w:tc>
          <w:tcPr>
            <w:tcW w:w="30" w:type="dxa"/>
            <w:vAlign w:val="bottom"/>
          </w:tcPr>
          <w:p w:rsidR="0061585A" w:rsidRDefault="0061585A">
            <w:pPr>
              <w:rPr>
                <w:sz w:val="1"/>
                <w:szCs w:val="1"/>
              </w:rPr>
            </w:pPr>
          </w:p>
        </w:tc>
      </w:tr>
      <w:tr w:rsidR="0061585A">
        <w:trPr>
          <w:trHeight w:val="170"/>
        </w:trPr>
        <w:tc>
          <w:tcPr>
            <w:tcW w:w="2120" w:type="dxa"/>
            <w:vMerge/>
            <w:tcBorders>
              <w:left w:val="single" w:sz="8" w:space="0" w:color="auto"/>
              <w:right w:val="single" w:sz="8" w:space="0" w:color="auto"/>
            </w:tcBorders>
            <w:vAlign w:val="bottom"/>
          </w:tcPr>
          <w:p w:rsidR="0061585A" w:rsidRDefault="0061585A">
            <w:pPr>
              <w:rPr>
                <w:sz w:val="14"/>
                <w:szCs w:val="14"/>
              </w:rPr>
            </w:pPr>
          </w:p>
        </w:tc>
        <w:tc>
          <w:tcPr>
            <w:tcW w:w="1480" w:type="dxa"/>
            <w:vMerge/>
            <w:tcBorders>
              <w:right w:val="single" w:sz="8" w:space="0" w:color="auto"/>
            </w:tcBorders>
            <w:vAlign w:val="bottom"/>
          </w:tcPr>
          <w:p w:rsidR="0061585A" w:rsidRDefault="0061585A">
            <w:pPr>
              <w:rPr>
                <w:sz w:val="14"/>
                <w:szCs w:val="14"/>
              </w:rPr>
            </w:pPr>
          </w:p>
        </w:tc>
        <w:tc>
          <w:tcPr>
            <w:tcW w:w="1400" w:type="dxa"/>
            <w:vMerge/>
            <w:tcBorders>
              <w:right w:val="single" w:sz="8" w:space="0" w:color="auto"/>
            </w:tcBorders>
            <w:vAlign w:val="bottom"/>
          </w:tcPr>
          <w:p w:rsidR="0061585A" w:rsidRDefault="0061585A">
            <w:pPr>
              <w:rPr>
                <w:sz w:val="14"/>
                <w:szCs w:val="14"/>
              </w:rPr>
            </w:pPr>
          </w:p>
        </w:tc>
        <w:tc>
          <w:tcPr>
            <w:tcW w:w="2080" w:type="dxa"/>
            <w:tcBorders>
              <w:right w:val="single" w:sz="8" w:space="0" w:color="auto"/>
            </w:tcBorders>
            <w:vAlign w:val="bottom"/>
          </w:tcPr>
          <w:p w:rsidR="0061585A" w:rsidRDefault="0061585A">
            <w:pPr>
              <w:rPr>
                <w:sz w:val="14"/>
                <w:szCs w:val="14"/>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UpdateMillisec</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number(3)</w:t>
            </w:r>
          </w:p>
        </w:tc>
        <w:tc>
          <w:tcPr>
            <w:tcW w:w="140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最后修改毫</w:t>
            </w:r>
          </w:p>
        </w:tc>
        <w:tc>
          <w:tcPr>
            <w:tcW w:w="2080" w:type="dxa"/>
            <w:vMerge w:val="restart"/>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最后修改毫秒</w:t>
            </w:r>
          </w:p>
        </w:tc>
        <w:tc>
          <w:tcPr>
            <w:tcW w:w="30" w:type="dxa"/>
            <w:vAlign w:val="bottom"/>
          </w:tcPr>
          <w:p w:rsidR="0061585A" w:rsidRDefault="0061585A">
            <w:pPr>
              <w:rPr>
                <w:sz w:val="1"/>
                <w:szCs w:val="1"/>
              </w:rPr>
            </w:pPr>
          </w:p>
        </w:tc>
      </w:tr>
      <w:tr w:rsidR="0061585A">
        <w:trPr>
          <w:trHeight w:val="15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val="restart"/>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秒</w:t>
            </w:r>
          </w:p>
        </w:tc>
        <w:tc>
          <w:tcPr>
            <w:tcW w:w="2080" w:type="dxa"/>
            <w:vMerge/>
            <w:tcBorders>
              <w:right w:val="single" w:sz="8" w:space="0" w:color="auto"/>
            </w:tcBorders>
            <w:vAlign w:val="bottom"/>
          </w:tcPr>
          <w:p w:rsidR="0061585A" w:rsidRDefault="0061585A">
            <w:pPr>
              <w:rPr>
                <w:sz w:val="13"/>
                <w:szCs w:val="13"/>
              </w:rPr>
            </w:pPr>
          </w:p>
        </w:tc>
        <w:tc>
          <w:tcPr>
            <w:tcW w:w="30" w:type="dxa"/>
            <w:vAlign w:val="bottom"/>
          </w:tcPr>
          <w:p w:rsidR="0061585A" w:rsidRDefault="0061585A">
            <w:pPr>
              <w:rPr>
                <w:sz w:val="1"/>
                <w:szCs w:val="1"/>
              </w:rPr>
            </w:pPr>
          </w:p>
        </w:tc>
      </w:tr>
      <w:tr w:rsidR="0061585A">
        <w:trPr>
          <w:trHeight w:val="170"/>
        </w:trPr>
        <w:tc>
          <w:tcPr>
            <w:tcW w:w="2120" w:type="dxa"/>
            <w:vMerge/>
            <w:tcBorders>
              <w:left w:val="single" w:sz="8" w:space="0" w:color="auto"/>
              <w:right w:val="single" w:sz="8" w:space="0" w:color="auto"/>
            </w:tcBorders>
            <w:vAlign w:val="bottom"/>
          </w:tcPr>
          <w:p w:rsidR="0061585A" w:rsidRDefault="0061585A">
            <w:pPr>
              <w:rPr>
                <w:sz w:val="14"/>
                <w:szCs w:val="14"/>
              </w:rPr>
            </w:pPr>
          </w:p>
        </w:tc>
        <w:tc>
          <w:tcPr>
            <w:tcW w:w="1480" w:type="dxa"/>
            <w:vMerge/>
            <w:tcBorders>
              <w:right w:val="single" w:sz="8" w:space="0" w:color="auto"/>
            </w:tcBorders>
            <w:vAlign w:val="bottom"/>
          </w:tcPr>
          <w:p w:rsidR="0061585A" w:rsidRDefault="0061585A">
            <w:pPr>
              <w:rPr>
                <w:sz w:val="14"/>
                <w:szCs w:val="14"/>
              </w:rPr>
            </w:pPr>
          </w:p>
        </w:tc>
        <w:tc>
          <w:tcPr>
            <w:tcW w:w="1400" w:type="dxa"/>
            <w:vMerge/>
            <w:tcBorders>
              <w:right w:val="single" w:sz="8" w:space="0" w:color="auto"/>
            </w:tcBorders>
            <w:vAlign w:val="bottom"/>
          </w:tcPr>
          <w:p w:rsidR="0061585A" w:rsidRDefault="0061585A">
            <w:pPr>
              <w:rPr>
                <w:sz w:val="14"/>
                <w:szCs w:val="14"/>
              </w:rPr>
            </w:pPr>
          </w:p>
        </w:tc>
        <w:tc>
          <w:tcPr>
            <w:tcW w:w="2080" w:type="dxa"/>
            <w:tcBorders>
              <w:right w:val="single" w:sz="8" w:space="0" w:color="auto"/>
            </w:tcBorders>
            <w:vAlign w:val="bottom"/>
          </w:tcPr>
          <w:p w:rsidR="0061585A" w:rsidRDefault="0061585A">
            <w:pPr>
              <w:rPr>
                <w:sz w:val="14"/>
                <w:szCs w:val="14"/>
              </w:rPr>
            </w:pP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r w:rsidR="0061585A">
        <w:trPr>
          <w:trHeight w:val="250"/>
        </w:trPr>
        <w:tc>
          <w:tcPr>
            <w:tcW w:w="2120" w:type="dxa"/>
            <w:vMerge w:val="restart"/>
            <w:tcBorders>
              <w:left w:val="single" w:sz="8" w:space="0" w:color="auto"/>
              <w:right w:val="single" w:sz="8" w:space="0" w:color="auto"/>
            </w:tcBorders>
            <w:vAlign w:val="center"/>
          </w:tcPr>
          <w:p w:rsidR="0061585A" w:rsidRDefault="00DD205A">
            <w:pPr>
              <w:ind w:left="120"/>
              <w:jc w:val="both"/>
              <w:rPr>
                <w:sz w:val="21"/>
                <w:szCs w:val="21"/>
              </w:rPr>
            </w:pPr>
            <w:proofErr w:type="spellStart"/>
            <w:r>
              <w:rPr>
                <w:rFonts w:eastAsia="Times New Roman"/>
                <w:sz w:val="21"/>
                <w:szCs w:val="21"/>
              </w:rPr>
              <w:t>InstrumentID</w:t>
            </w:r>
            <w:proofErr w:type="spellEnd"/>
          </w:p>
        </w:tc>
        <w:tc>
          <w:tcPr>
            <w:tcW w:w="1480" w:type="dxa"/>
            <w:vMerge w:val="restart"/>
            <w:tcBorders>
              <w:right w:val="single" w:sz="8" w:space="0" w:color="auto"/>
            </w:tcBorders>
            <w:vAlign w:val="center"/>
          </w:tcPr>
          <w:p w:rsidR="0061585A" w:rsidRDefault="00DD205A">
            <w:pPr>
              <w:ind w:left="100"/>
              <w:jc w:val="both"/>
              <w:rPr>
                <w:sz w:val="21"/>
                <w:szCs w:val="21"/>
              </w:rPr>
            </w:pPr>
            <w:r>
              <w:rPr>
                <w:rFonts w:eastAsia="Times New Roman"/>
                <w:sz w:val="21"/>
                <w:szCs w:val="21"/>
              </w:rPr>
              <w:t>char(30)</w:t>
            </w:r>
          </w:p>
        </w:tc>
        <w:tc>
          <w:tcPr>
            <w:tcW w:w="1400" w:type="dxa"/>
            <w:vMerge w:val="restart"/>
            <w:tcBorders>
              <w:right w:val="single" w:sz="8" w:space="0" w:color="auto"/>
            </w:tcBorders>
            <w:vAlign w:val="center"/>
          </w:tcPr>
          <w:p w:rsidR="0061585A" w:rsidRDefault="00DD205A">
            <w:pPr>
              <w:spacing w:line="240" w:lineRule="exact"/>
              <w:ind w:left="100"/>
              <w:jc w:val="both"/>
              <w:rPr>
                <w:sz w:val="21"/>
                <w:szCs w:val="21"/>
              </w:rPr>
            </w:pPr>
            <w:r>
              <w:rPr>
                <w:rFonts w:ascii="宋体" w:eastAsia="宋体" w:hAnsi="宋体" w:cs="宋体"/>
                <w:sz w:val="21"/>
                <w:szCs w:val="21"/>
              </w:rPr>
              <w:t>合约代码</w:t>
            </w: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合约在系统中的编</w:t>
            </w:r>
          </w:p>
        </w:tc>
        <w:tc>
          <w:tcPr>
            <w:tcW w:w="30" w:type="dxa"/>
            <w:vAlign w:val="bottom"/>
          </w:tcPr>
          <w:p w:rsidR="0061585A" w:rsidRDefault="0061585A">
            <w:pPr>
              <w:rPr>
                <w:sz w:val="1"/>
                <w:szCs w:val="1"/>
              </w:rPr>
            </w:pPr>
          </w:p>
        </w:tc>
      </w:tr>
      <w:tr w:rsidR="0061585A">
        <w:trPr>
          <w:trHeight w:val="326"/>
        </w:trPr>
        <w:tc>
          <w:tcPr>
            <w:tcW w:w="2120" w:type="dxa"/>
            <w:vMerge/>
            <w:tcBorders>
              <w:left w:val="single" w:sz="8" w:space="0" w:color="auto"/>
              <w:right w:val="single" w:sz="8" w:space="0" w:color="auto"/>
            </w:tcBorders>
            <w:vAlign w:val="bottom"/>
          </w:tcPr>
          <w:p w:rsidR="0061585A" w:rsidRDefault="0061585A">
            <w:pPr>
              <w:ind w:left="120"/>
              <w:rPr>
                <w:sz w:val="20"/>
                <w:szCs w:val="20"/>
              </w:rPr>
            </w:pPr>
          </w:p>
        </w:tc>
        <w:tc>
          <w:tcPr>
            <w:tcW w:w="1480" w:type="dxa"/>
            <w:vMerge/>
            <w:tcBorders>
              <w:right w:val="single" w:sz="8" w:space="0" w:color="auto"/>
            </w:tcBorders>
            <w:vAlign w:val="bottom"/>
          </w:tcPr>
          <w:p w:rsidR="0061585A" w:rsidRDefault="0061585A">
            <w:pPr>
              <w:ind w:left="100"/>
              <w:rPr>
                <w:sz w:val="20"/>
                <w:szCs w:val="20"/>
              </w:rPr>
            </w:pPr>
          </w:p>
        </w:tc>
        <w:tc>
          <w:tcPr>
            <w:tcW w:w="1400" w:type="dxa"/>
            <w:vMerge/>
            <w:tcBorders>
              <w:right w:val="single" w:sz="8" w:space="0" w:color="auto"/>
            </w:tcBorders>
            <w:vAlign w:val="bottom"/>
          </w:tcPr>
          <w:p w:rsidR="0061585A" w:rsidRDefault="0061585A">
            <w:pPr>
              <w:spacing w:line="240" w:lineRule="exact"/>
              <w:ind w:left="100"/>
              <w:rPr>
                <w:sz w:val="20"/>
                <w:szCs w:val="20"/>
              </w:rPr>
            </w:pPr>
          </w:p>
        </w:tc>
        <w:tc>
          <w:tcPr>
            <w:tcW w:w="2080" w:type="dxa"/>
            <w:tcBorders>
              <w:right w:val="single" w:sz="8" w:space="0" w:color="auto"/>
            </w:tcBorders>
            <w:vAlign w:val="bottom"/>
          </w:tcPr>
          <w:p w:rsidR="0061585A" w:rsidRDefault="00DD205A">
            <w:pPr>
              <w:spacing w:line="240" w:lineRule="exact"/>
              <w:ind w:left="100"/>
              <w:rPr>
                <w:sz w:val="20"/>
                <w:szCs w:val="20"/>
              </w:rPr>
            </w:pPr>
            <w:r>
              <w:rPr>
                <w:rFonts w:ascii="宋体" w:eastAsia="宋体" w:hAnsi="宋体" w:cs="宋体"/>
                <w:sz w:val="21"/>
                <w:szCs w:val="21"/>
              </w:rPr>
              <w:t>号</w:t>
            </w:r>
          </w:p>
        </w:tc>
        <w:tc>
          <w:tcPr>
            <w:tcW w:w="30" w:type="dxa"/>
            <w:vAlign w:val="bottom"/>
          </w:tcPr>
          <w:p w:rsidR="0061585A" w:rsidRDefault="0061585A">
            <w:pPr>
              <w:rPr>
                <w:sz w:val="1"/>
                <w:szCs w:val="1"/>
              </w:rPr>
            </w:pPr>
          </w:p>
        </w:tc>
      </w:tr>
      <w:tr w:rsidR="0061585A">
        <w:trPr>
          <w:trHeight w:val="38"/>
        </w:trPr>
        <w:tc>
          <w:tcPr>
            <w:tcW w:w="2120" w:type="dxa"/>
            <w:tcBorders>
              <w:left w:val="single" w:sz="8" w:space="0" w:color="auto"/>
              <w:bottom w:val="single" w:sz="8" w:space="0" w:color="auto"/>
              <w:right w:val="single" w:sz="8" w:space="0" w:color="auto"/>
            </w:tcBorders>
            <w:vAlign w:val="bottom"/>
          </w:tcPr>
          <w:p w:rsidR="0061585A" w:rsidRDefault="0061585A">
            <w:pPr>
              <w:rPr>
                <w:sz w:val="3"/>
                <w:szCs w:val="3"/>
              </w:rPr>
            </w:pPr>
          </w:p>
        </w:tc>
        <w:tc>
          <w:tcPr>
            <w:tcW w:w="1480" w:type="dxa"/>
            <w:tcBorders>
              <w:bottom w:val="single" w:sz="8" w:space="0" w:color="auto"/>
              <w:right w:val="single" w:sz="8" w:space="0" w:color="auto"/>
            </w:tcBorders>
            <w:vAlign w:val="bottom"/>
          </w:tcPr>
          <w:p w:rsidR="0061585A" w:rsidRDefault="0061585A">
            <w:pPr>
              <w:rPr>
                <w:sz w:val="3"/>
                <w:szCs w:val="3"/>
              </w:rPr>
            </w:pPr>
          </w:p>
        </w:tc>
        <w:tc>
          <w:tcPr>
            <w:tcW w:w="1400" w:type="dxa"/>
            <w:tcBorders>
              <w:bottom w:val="single" w:sz="8" w:space="0" w:color="auto"/>
              <w:right w:val="single" w:sz="8" w:space="0" w:color="auto"/>
            </w:tcBorders>
            <w:vAlign w:val="bottom"/>
          </w:tcPr>
          <w:p w:rsidR="0061585A" w:rsidRDefault="0061585A">
            <w:pPr>
              <w:rPr>
                <w:sz w:val="3"/>
                <w:szCs w:val="3"/>
              </w:rPr>
            </w:pPr>
          </w:p>
        </w:tc>
        <w:tc>
          <w:tcPr>
            <w:tcW w:w="2080" w:type="dxa"/>
            <w:tcBorders>
              <w:bottom w:val="single" w:sz="8" w:space="0" w:color="auto"/>
              <w:right w:val="single" w:sz="8" w:space="0" w:color="auto"/>
            </w:tcBorders>
            <w:vAlign w:val="bottom"/>
          </w:tcPr>
          <w:p w:rsidR="0061585A" w:rsidRDefault="0061585A">
            <w:pPr>
              <w:rPr>
                <w:sz w:val="3"/>
                <w:szCs w:val="3"/>
              </w:rPr>
            </w:pPr>
          </w:p>
        </w:tc>
        <w:tc>
          <w:tcPr>
            <w:tcW w:w="30" w:type="dxa"/>
            <w:vAlign w:val="bottom"/>
          </w:tcPr>
          <w:p w:rsidR="0061585A" w:rsidRDefault="0061585A">
            <w:pPr>
              <w:rPr>
                <w:sz w:val="1"/>
                <w:szCs w:val="1"/>
              </w:rPr>
            </w:pPr>
          </w:p>
        </w:tc>
      </w:tr>
    </w:tbl>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363" w:lineRule="exact"/>
        <w:rPr>
          <w:sz w:val="20"/>
          <w:szCs w:val="20"/>
        </w:rPr>
      </w:pPr>
    </w:p>
    <w:p w:rsidR="0061585A" w:rsidRDefault="00DD205A">
      <w:pPr>
        <w:ind w:right="6"/>
        <w:jc w:val="center"/>
        <w:rPr>
          <w:sz w:val="20"/>
          <w:szCs w:val="20"/>
        </w:rPr>
      </w:pPr>
      <w:r>
        <w:rPr>
          <w:rFonts w:eastAsia="Times New Roman"/>
          <w:sz w:val="21"/>
          <w:szCs w:val="21"/>
        </w:rPr>
        <w:t>4</w:t>
      </w:r>
    </w:p>
    <w:p w:rsidR="0061585A" w:rsidRDefault="0061585A">
      <w:pPr>
        <w:sectPr w:rsidR="0061585A">
          <w:pgSz w:w="11900" w:h="16838"/>
          <w:pgMar w:top="1439" w:right="1440" w:bottom="654" w:left="1440" w:header="680" w:footer="0" w:gutter="0"/>
          <w:cols w:space="720" w:equalWidth="0">
            <w:col w:w="9026"/>
          </w:cols>
        </w:sectPr>
      </w:pPr>
    </w:p>
    <w:p w:rsidR="0061585A" w:rsidRDefault="0061585A">
      <w:pPr>
        <w:spacing w:line="104" w:lineRule="exact"/>
        <w:rPr>
          <w:sz w:val="20"/>
          <w:szCs w:val="20"/>
        </w:rPr>
      </w:pPr>
      <w:bookmarkStart w:id="5" w:name="page6"/>
      <w:bookmarkEnd w:id="5"/>
    </w:p>
    <w:p w:rsidR="0061585A" w:rsidRDefault="00DD205A">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2</w:t>
      </w:r>
    </w:p>
    <w:p w:rsidR="0061585A" w:rsidRDefault="0061585A">
      <w:pPr>
        <w:spacing w:line="157" w:lineRule="exact"/>
        <w:rPr>
          <w:sz w:val="20"/>
          <w:szCs w:val="20"/>
        </w:rPr>
      </w:pPr>
    </w:p>
    <w:p w:rsidR="0061585A" w:rsidRDefault="00DD205A">
      <w:pPr>
        <w:spacing w:line="502" w:lineRule="exact"/>
        <w:ind w:left="1460"/>
        <w:rPr>
          <w:sz w:val="20"/>
          <w:szCs w:val="20"/>
        </w:rPr>
      </w:pPr>
      <w:r>
        <w:rPr>
          <w:rFonts w:ascii="宋体" w:eastAsia="宋体" w:hAnsi="宋体" w:cs="宋体"/>
          <w:b/>
          <w:bCs/>
          <w:sz w:val="44"/>
          <w:szCs w:val="44"/>
        </w:rPr>
        <w:t>申请延时行情的技术准备工作</w:t>
      </w: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13" w:lineRule="exact"/>
        <w:rPr>
          <w:sz w:val="20"/>
          <w:szCs w:val="20"/>
        </w:rPr>
      </w:pPr>
    </w:p>
    <w:p w:rsidR="0061585A" w:rsidRDefault="00DD205A">
      <w:pPr>
        <w:spacing w:line="411" w:lineRule="exact"/>
        <w:ind w:left="360"/>
        <w:rPr>
          <w:sz w:val="20"/>
          <w:szCs w:val="20"/>
        </w:rPr>
      </w:pPr>
      <w:r>
        <w:rPr>
          <w:rFonts w:ascii="宋体" w:eastAsia="宋体" w:hAnsi="宋体" w:cs="宋体"/>
          <w:b/>
          <w:bCs/>
          <w:sz w:val="28"/>
          <w:szCs w:val="28"/>
        </w:rPr>
        <w:t>一、</w:t>
      </w:r>
      <w:r>
        <w:rPr>
          <w:rFonts w:ascii="宋体" w:eastAsia="宋体" w:hAnsi="宋体" w:cs="宋体"/>
          <w:b/>
          <w:bCs/>
          <w:sz w:val="28"/>
          <w:szCs w:val="28"/>
        </w:rPr>
        <w:t xml:space="preserve"> </w:t>
      </w:r>
      <w:r>
        <w:rPr>
          <w:rFonts w:ascii="宋体" w:eastAsia="宋体" w:hAnsi="宋体" w:cs="宋体"/>
          <w:b/>
          <w:bCs/>
          <w:sz w:val="28"/>
          <w:szCs w:val="28"/>
        </w:rPr>
        <w:t>申请行情直接连接的技术准备</w:t>
      </w:r>
    </w:p>
    <w:p w:rsidR="0061585A" w:rsidRDefault="0061585A">
      <w:pPr>
        <w:spacing w:line="198" w:lineRule="exact"/>
        <w:rPr>
          <w:sz w:val="20"/>
          <w:szCs w:val="20"/>
        </w:rPr>
      </w:pPr>
    </w:p>
    <w:p w:rsidR="0061585A" w:rsidRDefault="00DD205A">
      <w:pPr>
        <w:spacing w:line="360" w:lineRule="auto"/>
        <w:ind w:left="340" w:right="340" w:firstLineChars="200" w:firstLine="480"/>
        <w:rPr>
          <w:rFonts w:eastAsia="Times New Roman"/>
          <w:sz w:val="24"/>
          <w:szCs w:val="24"/>
        </w:rPr>
      </w:pPr>
      <w:r>
        <w:rPr>
          <w:rFonts w:eastAsia="Times New Roman"/>
          <w:sz w:val="24"/>
          <w:szCs w:val="24"/>
        </w:rPr>
        <w:t>1</w:t>
      </w:r>
      <w:r>
        <w:rPr>
          <w:rFonts w:ascii="宋体" w:eastAsia="宋体" w:hAnsi="宋体" w:cs="宋体" w:hint="eastAsia"/>
          <w:sz w:val="24"/>
          <w:szCs w:val="24"/>
        </w:rPr>
        <w:t>、如申请行情直接连接，请先完成相关行情接收程序的开发工作。开发完成后，可以接入互联网测试环境进行接口适应性测试。</w:t>
      </w:r>
    </w:p>
    <w:p w:rsidR="0061585A" w:rsidRDefault="00DD205A">
      <w:pPr>
        <w:spacing w:line="360" w:lineRule="auto"/>
        <w:ind w:left="340" w:right="340" w:firstLineChars="200" w:firstLine="480"/>
        <w:rPr>
          <w:rFonts w:eastAsia="宋体"/>
          <w:sz w:val="24"/>
          <w:szCs w:val="24"/>
        </w:rPr>
      </w:pPr>
      <w:r>
        <w:rPr>
          <w:rFonts w:eastAsia="Times New Roman"/>
          <w:sz w:val="24"/>
          <w:szCs w:val="24"/>
        </w:rPr>
        <w:t>2</w:t>
      </w:r>
      <w:r>
        <w:rPr>
          <w:rFonts w:ascii="宋体" w:eastAsia="宋体" w:hAnsi="宋体" w:cs="宋体" w:hint="eastAsia"/>
          <w:sz w:val="24"/>
          <w:szCs w:val="24"/>
        </w:rPr>
        <w:t>、完成行情接收程序的开发及互联网环境接口适应性测试之后，申请机构应当先行完成链路建设，申请中金所延时行情的直连机构必须具备以下至少一项：（</w:t>
      </w:r>
      <w:r>
        <w:rPr>
          <w:rFonts w:ascii="宋体" w:eastAsia="宋体" w:hAnsi="宋体" w:cs="宋体" w:hint="eastAsia"/>
          <w:sz w:val="24"/>
          <w:szCs w:val="24"/>
        </w:rPr>
        <w:t>1</w:t>
      </w:r>
      <w:r>
        <w:rPr>
          <w:rFonts w:ascii="宋体" w:eastAsia="宋体" w:hAnsi="宋体" w:cs="宋体" w:hint="eastAsia"/>
          <w:sz w:val="24"/>
          <w:szCs w:val="24"/>
        </w:rPr>
        <w:t>）至少一条与中金所主生产数据中心直连专线；（</w:t>
      </w:r>
      <w:r>
        <w:rPr>
          <w:rFonts w:ascii="宋体" w:eastAsia="宋体" w:hAnsi="宋体" w:cs="宋体" w:hint="eastAsia"/>
          <w:sz w:val="24"/>
          <w:szCs w:val="24"/>
        </w:rPr>
        <w:t>2</w:t>
      </w:r>
      <w:r>
        <w:rPr>
          <w:rFonts w:ascii="宋体" w:eastAsia="宋体" w:hAnsi="宋体" w:cs="宋体" w:hint="eastAsia"/>
          <w:sz w:val="24"/>
          <w:szCs w:val="24"/>
        </w:rPr>
        <w:t>）通过中金所或中金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有限公司授权的托管机房内的信息接入点驳接；（</w:t>
      </w:r>
      <w:r>
        <w:rPr>
          <w:rFonts w:ascii="宋体" w:eastAsia="宋体" w:hAnsi="宋体" w:cs="宋体" w:hint="eastAsia"/>
          <w:sz w:val="24"/>
          <w:szCs w:val="24"/>
        </w:rPr>
        <w:t>3</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有限公司提供的互联网接入方式接入；（</w:t>
      </w:r>
      <w:r>
        <w:rPr>
          <w:rFonts w:ascii="宋体" w:eastAsia="宋体" w:hAnsi="宋体" w:cs="宋体" w:hint="eastAsia"/>
          <w:sz w:val="24"/>
          <w:szCs w:val="24"/>
        </w:rPr>
        <w:t>4</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有限公司授权的数据传输授权机构获取。</w:t>
      </w:r>
    </w:p>
    <w:p w:rsidR="0061585A" w:rsidRDefault="00DD205A">
      <w:pPr>
        <w:spacing w:line="292" w:lineRule="exact"/>
        <w:ind w:left="780"/>
        <w:rPr>
          <w:sz w:val="20"/>
          <w:szCs w:val="20"/>
        </w:rPr>
      </w:pPr>
      <w:r>
        <w:rPr>
          <w:rFonts w:eastAsia="Times New Roman"/>
          <w:sz w:val="24"/>
          <w:szCs w:val="24"/>
        </w:rPr>
        <w:t>3</w:t>
      </w:r>
      <w:r>
        <w:rPr>
          <w:rFonts w:ascii="宋体" w:eastAsia="宋体" w:hAnsi="宋体" w:cs="宋体"/>
          <w:sz w:val="24"/>
          <w:szCs w:val="24"/>
        </w:rPr>
        <w:t>、完成上述两项技术准备之后，可与我司进行后续商务及协议谈判程序。</w:t>
      </w:r>
    </w:p>
    <w:p w:rsidR="0061585A" w:rsidRDefault="0061585A">
      <w:pPr>
        <w:spacing w:line="176" w:lineRule="exact"/>
        <w:rPr>
          <w:sz w:val="20"/>
          <w:szCs w:val="20"/>
        </w:rPr>
      </w:pPr>
    </w:p>
    <w:p w:rsidR="0061585A" w:rsidRDefault="00DD205A">
      <w:pPr>
        <w:spacing w:line="274" w:lineRule="exact"/>
        <w:ind w:left="780"/>
        <w:rPr>
          <w:b/>
          <w:sz w:val="20"/>
          <w:szCs w:val="20"/>
        </w:rPr>
      </w:pPr>
      <w:r>
        <w:rPr>
          <w:rFonts w:ascii="宋体" w:eastAsia="宋体" w:hAnsi="宋体" w:cs="宋体"/>
          <w:b/>
          <w:sz w:val="24"/>
          <w:szCs w:val="24"/>
        </w:rPr>
        <w:t>中金所行情信息业务联系人：</w:t>
      </w:r>
    </w:p>
    <w:p w:rsidR="0061585A" w:rsidRDefault="0061585A">
      <w:pPr>
        <w:spacing w:line="194" w:lineRule="exact"/>
        <w:rPr>
          <w:sz w:val="20"/>
          <w:szCs w:val="20"/>
        </w:rPr>
      </w:pPr>
    </w:p>
    <w:p w:rsidR="0061585A" w:rsidRPr="00C07A6A" w:rsidRDefault="00DD205A">
      <w:pPr>
        <w:spacing w:line="360" w:lineRule="auto"/>
        <w:ind w:left="839"/>
        <w:rPr>
          <w:rFonts w:asciiTheme="minorEastAsia" w:hAnsiTheme="minorEastAsia"/>
          <w:bCs/>
          <w:color w:val="000000" w:themeColor="text1"/>
          <w:sz w:val="24"/>
          <w:szCs w:val="24"/>
        </w:rPr>
      </w:pPr>
      <w:bookmarkStart w:id="6" w:name="_GoBack"/>
      <w:r w:rsidRPr="00C07A6A">
        <w:rPr>
          <w:rFonts w:asciiTheme="minorEastAsia" w:hAnsiTheme="minorEastAsia" w:hint="eastAsia"/>
          <w:bCs/>
          <w:color w:val="000000" w:themeColor="text1"/>
          <w:sz w:val="24"/>
          <w:szCs w:val="24"/>
        </w:rPr>
        <w:t>刘子婴</w:t>
      </w:r>
      <w:r w:rsidRPr="00C07A6A">
        <w:rPr>
          <w:rFonts w:hint="eastAsia"/>
          <w:bCs/>
          <w:color w:val="000000" w:themeColor="text1"/>
          <w:sz w:val="24"/>
          <w:szCs w:val="24"/>
        </w:rPr>
        <w:t>，</w:t>
      </w:r>
      <w:r w:rsidRPr="00C07A6A">
        <w:rPr>
          <w:bCs/>
          <w:color w:val="000000" w:themeColor="text1"/>
          <w:sz w:val="24"/>
          <w:szCs w:val="24"/>
        </w:rPr>
        <w:t>021-50160624</w:t>
      </w:r>
      <w:r w:rsidRPr="00C07A6A">
        <w:rPr>
          <w:rFonts w:hint="eastAsia"/>
          <w:bCs/>
          <w:color w:val="000000" w:themeColor="text1"/>
          <w:sz w:val="24"/>
          <w:szCs w:val="24"/>
        </w:rPr>
        <w:t>，</w:t>
      </w:r>
      <w:r w:rsidRPr="00C07A6A">
        <w:rPr>
          <w:rFonts w:hint="eastAsia"/>
          <w:bCs/>
          <w:color w:val="000000" w:themeColor="text1"/>
          <w:sz w:val="24"/>
          <w:szCs w:val="24"/>
        </w:rPr>
        <w:t>liuzy</w:t>
      </w:r>
      <w:r w:rsidRPr="00C07A6A">
        <w:rPr>
          <w:bCs/>
          <w:color w:val="000000" w:themeColor="text1"/>
          <w:sz w:val="24"/>
          <w:szCs w:val="24"/>
        </w:rPr>
        <w:t>2@cffex.com.cn</w:t>
      </w:r>
      <w:r w:rsidRPr="00C07A6A">
        <w:rPr>
          <w:rFonts w:asciiTheme="minorEastAsia" w:hAnsiTheme="minorEastAsia" w:hint="eastAsia"/>
          <w:bCs/>
          <w:color w:val="000000" w:themeColor="text1"/>
          <w:sz w:val="24"/>
          <w:szCs w:val="24"/>
        </w:rPr>
        <w:t xml:space="preserve"> </w:t>
      </w:r>
    </w:p>
    <w:bookmarkEnd w:id="6"/>
    <w:p w:rsidR="0061585A" w:rsidRDefault="00DD205A">
      <w:pPr>
        <w:spacing w:line="411" w:lineRule="exact"/>
        <w:ind w:left="360"/>
        <w:rPr>
          <w:rFonts w:ascii="宋体" w:eastAsia="宋体" w:hAnsi="宋体" w:cs="宋体"/>
          <w:b/>
          <w:bCs/>
          <w:sz w:val="28"/>
          <w:szCs w:val="28"/>
        </w:rPr>
      </w:pPr>
      <w:r>
        <w:rPr>
          <w:rFonts w:ascii="宋体" w:eastAsia="宋体" w:hAnsi="宋体" w:cs="宋体"/>
          <w:b/>
          <w:bCs/>
          <w:sz w:val="28"/>
          <w:szCs w:val="28"/>
        </w:rPr>
        <w:t>二、申请行情间接连接的技术准备</w:t>
      </w:r>
    </w:p>
    <w:p w:rsidR="0061585A" w:rsidRDefault="0061585A">
      <w:pPr>
        <w:spacing w:line="251" w:lineRule="exact"/>
        <w:rPr>
          <w:sz w:val="24"/>
          <w:szCs w:val="24"/>
        </w:rPr>
      </w:pPr>
    </w:p>
    <w:p w:rsidR="0061585A" w:rsidRDefault="00DD205A">
      <w:pPr>
        <w:spacing w:line="360" w:lineRule="auto"/>
        <w:ind w:left="340" w:right="340" w:firstLineChars="200" w:firstLine="480"/>
        <w:rPr>
          <w:rFonts w:eastAsia="Times New Roman"/>
          <w:sz w:val="24"/>
          <w:szCs w:val="24"/>
        </w:rPr>
      </w:pPr>
      <w:r>
        <w:rPr>
          <w:rFonts w:ascii="宋体" w:eastAsia="宋体" w:hAnsi="宋体" w:cs="宋体" w:hint="eastAsia"/>
          <w:sz w:val="24"/>
          <w:szCs w:val="24"/>
        </w:rPr>
        <w:t>申请行情间接连接的机构将从中金所或中金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有限公司授权的第三方机构接收行情信息数据。请联系第三方机构（相关信息</w:t>
      </w:r>
      <w:proofErr w:type="gramStart"/>
      <w:r>
        <w:rPr>
          <w:rFonts w:ascii="宋体" w:eastAsia="宋体" w:hAnsi="宋体" w:cs="宋体" w:hint="eastAsia"/>
          <w:sz w:val="24"/>
          <w:szCs w:val="24"/>
        </w:rPr>
        <w:t>见官网</w:t>
      </w:r>
      <w:r>
        <w:rPr>
          <w:rFonts w:ascii="宋体" w:eastAsia="宋体" w:hAnsi="宋体" w:cs="宋体"/>
          <w:sz w:val="24"/>
          <w:szCs w:val="24"/>
        </w:rPr>
        <w:t>公示</w:t>
      </w:r>
      <w:proofErr w:type="gramEnd"/>
      <w:r>
        <w:rPr>
          <w:rFonts w:ascii="宋体" w:eastAsia="宋体" w:hAnsi="宋体" w:cs="宋体" w:hint="eastAsia"/>
          <w:sz w:val="24"/>
          <w:szCs w:val="24"/>
        </w:rPr>
        <w:t>），准备好相关的行情转接技术方案，并将技术方案、第三方机构的运维合同和申请材料一同提交申报。</w:t>
      </w: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200" w:lineRule="exact"/>
        <w:rPr>
          <w:sz w:val="20"/>
          <w:szCs w:val="20"/>
        </w:rPr>
      </w:pPr>
    </w:p>
    <w:p w:rsidR="0061585A" w:rsidRDefault="0061585A">
      <w:pPr>
        <w:spacing w:line="317" w:lineRule="exact"/>
        <w:rPr>
          <w:sz w:val="20"/>
          <w:szCs w:val="20"/>
        </w:rPr>
      </w:pPr>
    </w:p>
    <w:p w:rsidR="0061585A" w:rsidRDefault="00DD205A">
      <w:pPr>
        <w:ind w:right="6"/>
        <w:jc w:val="center"/>
        <w:rPr>
          <w:sz w:val="20"/>
          <w:szCs w:val="20"/>
        </w:rPr>
      </w:pPr>
      <w:r>
        <w:rPr>
          <w:rFonts w:eastAsia="Times New Roman"/>
          <w:sz w:val="21"/>
          <w:szCs w:val="21"/>
        </w:rPr>
        <w:t>5</w:t>
      </w:r>
    </w:p>
    <w:sectPr w:rsidR="0061585A">
      <w:pgSz w:w="11900" w:h="16838"/>
      <w:pgMar w:top="1440" w:right="1440" w:bottom="654" w:left="1440" w:header="680" w:footer="0" w:gutter="0"/>
      <w:cols w:space="720" w:equalWidth="0">
        <w:col w:w="902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205A" w:rsidRDefault="00DD205A">
      <w:r>
        <w:separator/>
      </w:r>
    </w:p>
  </w:endnote>
  <w:endnote w:type="continuationSeparator" w:id="0">
    <w:p w:rsidR="00DD205A" w:rsidRDefault="00DD2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205A" w:rsidRDefault="00DD205A">
      <w:r>
        <w:separator/>
      </w:r>
    </w:p>
  </w:footnote>
  <w:footnote w:type="continuationSeparator" w:id="0">
    <w:p w:rsidR="00DD205A" w:rsidRDefault="00DD20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85A" w:rsidRDefault="0061585A">
    <w:pPr>
      <w:pStyle w:val="a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5F90"/>
    <w:multiLevelType w:val="multilevel"/>
    <w:tmpl w:val="00005F90"/>
    <w:lvl w:ilvl="0">
      <w:start w:val="2"/>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006952"/>
    <w:multiLevelType w:val="multilevel"/>
    <w:tmpl w:val="0000695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B95"/>
    <w:rsid w:val="B3BF32EB"/>
    <w:rsid w:val="00020B58"/>
    <w:rsid w:val="00062C41"/>
    <w:rsid w:val="00162190"/>
    <w:rsid w:val="002070AA"/>
    <w:rsid w:val="00251B3D"/>
    <w:rsid w:val="00307D96"/>
    <w:rsid w:val="00353D0C"/>
    <w:rsid w:val="003F501A"/>
    <w:rsid w:val="0041566A"/>
    <w:rsid w:val="00460704"/>
    <w:rsid w:val="004E6097"/>
    <w:rsid w:val="00501B95"/>
    <w:rsid w:val="005A4BF5"/>
    <w:rsid w:val="0061585A"/>
    <w:rsid w:val="006B0595"/>
    <w:rsid w:val="008206CF"/>
    <w:rsid w:val="00852D28"/>
    <w:rsid w:val="008C17E1"/>
    <w:rsid w:val="00911748"/>
    <w:rsid w:val="009716CC"/>
    <w:rsid w:val="00A56773"/>
    <w:rsid w:val="00AB39EB"/>
    <w:rsid w:val="00AC3E1F"/>
    <w:rsid w:val="00AC698C"/>
    <w:rsid w:val="00B50328"/>
    <w:rsid w:val="00BE591E"/>
    <w:rsid w:val="00C07A6A"/>
    <w:rsid w:val="00CA2D10"/>
    <w:rsid w:val="00D27600"/>
    <w:rsid w:val="00DD205A"/>
    <w:rsid w:val="00DE55A5"/>
    <w:rsid w:val="00E44BA4"/>
    <w:rsid w:val="00E54E68"/>
    <w:rsid w:val="00F230CD"/>
    <w:rsid w:val="47375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AAF9CC1-BBCC-413C-8034-5E052599C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507</Words>
  <Characters>2890</Characters>
  <Application>Microsoft Office Word</Application>
  <DocSecurity>0</DocSecurity>
  <Lines>24</Lines>
  <Paragraphs>6</Paragraphs>
  <ScaleCrop>false</ScaleCrop>
  <Company>MS</Company>
  <LinksUpToDate>false</LinksUpToDate>
  <CharactersWithSpaces>3391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info01</cp:lastModifiedBy>
  <cp:revision>18</cp:revision>
  <cp:lastPrinted>2018-09-11T13:57:00Z</cp:lastPrinted>
  <dcterms:created xsi:type="dcterms:W3CDTF">2018-08-20T16:14:00Z</dcterms:created>
  <dcterms:modified xsi:type="dcterms:W3CDTF">2023-02-17T09:11:00Z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