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中国</w:t>
      </w:r>
      <w:r>
        <w:rPr>
          <w:rFonts w:ascii="方正大标宋简体" w:hAnsi="方正大标宋简体" w:eastAsia="方正大标宋简体" w:cs="方正大标宋简体"/>
          <w:sz w:val="44"/>
          <w:szCs w:val="44"/>
        </w:rPr>
        <w:t>金融期货交易所</w:t>
      </w:r>
      <w:r>
        <w:rPr>
          <w:rFonts w:hint="eastAsia" w:ascii="方正大标宋简体" w:hAnsi="方正大标宋简体" w:eastAsia="方正大标宋简体" w:cs="方正大标宋简体"/>
          <w:sz w:val="44"/>
          <w:szCs w:val="44"/>
        </w:rPr>
        <w:t>展示型行情服务定价</w:t>
      </w:r>
    </w:p>
    <w:p>
      <w:pPr>
        <w:jc w:val="center"/>
        <w:rPr>
          <w:rFonts w:ascii="方正大标宋简体" w:hAnsi="方正大标宋简体" w:eastAsia="方正大标宋简体" w:cs="方正大标宋简体"/>
          <w:sz w:val="24"/>
          <w:szCs w:val="32"/>
        </w:rPr>
      </w:pPr>
      <w:r>
        <w:rPr>
          <w:rFonts w:hint="eastAsia" w:ascii="方正大标宋简体" w:hAnsi="方正大标宋简体" w:eastAsia="方正大标宋简体" w:cs="方正大标宋简体"/>
          <w:sz w:val="24"/>
          <w:szCs w:val="32"/>
        </w:rPr>
        <w:t>（适用于中国大陆，不含香港、澳门和台湾地区）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中国金融期货交易所（以下简称“中金所”）展示型行情定价包括授权许可费和终端使用费，具体定价如下：</w:t>
      </w:r>
    </w:p>
    <w:tbl>
      <w:tblPr>
        <w:tblStyle w:val="10"/>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617"/>
        <w:gridCol w:w="1502"/>
        <w:gridCol w:w="1842"/>
        <w:gridCol w:w="3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704"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授权经营范围</w:t>
            </w:r>
          </w:p>
        </w:tc>
        <w:tc>
          <w:tcPr>
            <w:tcW w:w="1617"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行情授权</w:t>
            </w:r>
          </w:p>
        </w:tc>
        <w:tc>
          <w:tcPr>
            <w:tcW w:w="1502"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授权传输方式</w:t>
            </w:r>
          </w:p>
        </w:tc>
        <w:tc>
          <w:tcPr>
            <w:tcW w:w="1842"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授权许可费</w:t>
            </w:r>
          </w:p>
        </w:tc>
        <w:tc>
          <w:tcPr>
            <w:tcW w:w="3575"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终端使用费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3" w:hRule="atLeast"/>
        </w:trPr>
        <w:tc>
          <w:tcPr>
            <w:tcW w:w="704" w:type="dxa"/>
            <w:vMerge w:val="restart"/>
            <w:textDirection w:val="tbLrV"/>
            <w:vAlign w:val="center"/>
          </w:tcPr>
          <w:p>
            <w:pPr>
              <w:ind w:left="113" w:right="113"/>
              <w:jc w:val="center"/>
              <w:rPr>
                <w:rFonts w:ascii="仿宋_GB2312" w:hAnsi="仿宋_GB2312" w:eastAsia="仿宋_GB2312" w:cs="仿宋_GB2312"/>
                <w:sz w:val="24"/>
              </w:rPr>
            </w:pPr>
            <w:r>
              <w:rPr>
                <w:rFonts w:hint="eastAsia" w:ascii="仿宋_GB2312" w:hAnsi="仿宋_GB2312" w:eastAsia="仿宋_GB2312" w:cs="仿宋_GB2312"/>
                <w:sz w:val="24"/>
              </w:rPr>
              <w:t>中国大陆（不含港、澳、台）</w:t>
            </w:r>
          </w:p>
        </w:tc>
        <w:tc>
          <w:tcPr>
            <w:tcW w:w="1617"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实时level-2行情</w:t>
            </w:r>
          </w:p>
        </w:tc>
        <w:tc>
          <w:tcPr>
            <w:tcW w:w="150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·互联网等专线网络；</w:t>
            </w:r>
          </w:p>
          <w:p>
            <w:pPr>
              <w:jc w:val="left"/>
              <w:rPr>
                <w:rFonts w:ascii="仿宋_GB2312" w:hAnsi="仿宋_GB2312" w:eastAsia="仿宋_GB2312" w:cs="仿宋_GB2312"/>
                <w:sz w:val="24"/>
              </w:rPr>
            </w:pPr>
            <w:r>
              <w:rPr>
                <w:rFonts w:hint="eastAsia" w:ascii="仿宋_GB2312" w:hAnsi="仿宋_GB2312" w:eastAsia="仿宋_GB2312" w:cs="仿宋_GB2312"/>
                <w:sz w:val="24"/>
              </w:rPr>
              <w:t>·无线；</w:t>
            </w:r>
          </w:p>
          <w:p>
            <w:pPr>
              <w:jc w:val="left"/>
              <w:rPr>
                <w:rFonts w:ascii="仿宋_GB2312" w:hAnsi="仿宋_GB2312" w:eastAsia="仿宋_GB2312" w:cs="仿宋_GB2312"/>
                <w:sz w:val="24"/>
              </w:rPr>
            </w:pPr>
            <w:r>
              <w:rPr>
                <w:rFonts w:hint="eastAsia" w:ascii="仿宋_GB2312" w:hAnsi="仿宋_GB2312" w:eastAsia="仿宋_GB2312" w:cs="仿宋_GB2312"/>
                <w:sz w:val="24"/>
              </w:rPr>
              <w:t>·其他</w:t>
            </w:r>
          </w:p>
        </w:tc>
        <w:tc>
          <w:tcPr>
            <w:tcW w:w="184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b/>
                <w:bCs/>
                <w:sz w:val="24"/>
              </w:rPr>
              <w:t>一种传输方式</w:t>
            </w:r>
            <w:r>
              <w:rPr>
                <w:rFonts w:hint="eastAsia" w:ascii="仿宋_GB2312" w:hAnsi="仿宋_GB2312" w:eastAsia="仿宋_GB2312" w:cs="仿宋_GB2312"/>
                <w:sz w:val="24"/>
              </w:rPr>
              <w:t>：45万元/年</w:t>
            </w:r>
          </w:p>
          <w:p>
            <w:pPr>
              <w:jc w:val="left"/>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b/>
                <w:bCs/>
                <w:sz w:val="24"/>
              </w:rPr>
              <w:t>两种及以上</w:t>
            </w:r>
            <w:r>
              <w:rPr>
                <w:rFonts w:hint="eastAsia" w:ascii="仿宋_GB2312" w:hAnsi="仿宋_GB2312" w:eastAsia="仿宋_GB2312" w:cs="仿宋_GB2312"/>
                <w:sz w:val="24"/>
              </w:rPr>
              <w:t>：75万元/年</w:t>
            </w:r>
          </w:p>
        </w:tc>
        <w:tc>
          <w:tcPr>
            <w:tcW w:w="3575"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b/>
                <w:bCs/>
                <w:sz w:val="24"/>
              </w:rPr>
              <w:t>PC终端</w:t>
            </w:r>
            <w:r>
              <w:rPr>
                <w:rFonts w:hint="eastAsia" w:ascii="仿宋_GB2312" w:hAnsi="仿宋_GB2312" w:eastAsia="仿宋_GB2312" w:cs="仿宋_GB2312"/>
                <w:sz w:val="24"/>
              </w:rPr>
              <w:t>：</w:t>
            </w:r>
          </w:p>
          <w:p>
            <w:pPr>
              <w:jc w:val="left"/>
              <w:rPr>
                <w:rFonts w:ascii="仿宋_GB2312" w:hAnsi="仿宋_GB2312" w:eastAsia="仿宋_GB2312" w:cs="仿宋_GB2312"/>
                <w:sz w:val="24"/>
              </w:rPr>
            </w:pPr>
            <w:r>
              <w:rPr>
                <w:rFonts w:hint="eastAsia" w:ascii="仿宋_GB2312" w:hAnsi="仿宋_GB2312" w:eastAsia="仿宋_GB2312" w:cs="仿宋_GB2312"/>
                <w:sz w:val="24"/>
              </w:rPr>
              <w:t>30元/月/终端</w:t>
            </w:r>
          </w:p>
          <w:p>
            <w:pPr>
              <w:jc w:val="left"/>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b/>
                <w:bCs/>
                <w:sz w:val="24"/>
              </w:rPr>
              <w:t>无线终端</w:t>
            </w:r>
            <w:r>
              <w:rPr>
                <w:rFonts w:hint="eastAsia" w:ascii="仿宋_GB2312" w:hAnsi="仿宋_GB2312" w:eastAsia="仿宋_GB2312" w:cs="仿宋_GB2312"/>
                <w:sz w:val="24"/>
              </w:rPr>
              <w:t>：</w:t>
            </w:r>
          </w:p>
          <w:p>
            <w:pPr>
              <w:jc w:val="left"/>
              <w:rPr>
                <w:rFonts w:ascii="仿宋_GB2312" w:hAnsi="仿宋_GB2312" w:eastAsia="仿宋_GB2312" w:cs="仿宋_GB2312"/>
                <w:sz w:val="24"/>
              </w:rPr>
            </w:pPr>
            <w:r>
              <w:rPr>
                <w:rFonts w:hint="eastAsia" w:ascii="仿宋_GB2312" w:hAnsi="仿宋_GB2312" w:eastAsia="仿宋_GB2312" w:cs="仿宋_GB2312"/>
                <w:sz w:val="24"/>
              </w:rPr>
              <w:t>[1,1000],20元/月/终端</w:t>
            </w:r>
          </w:p>
          <w:p>
            <w:pPr>
              <w:jc w:val="left"/>
              <w:rPr>
                <w:rFonts w:ascii="仿宋_GB2312" w:hAnsi="仿宋_GB2312" w:eastAsia="仿宋_GB2312" w:cs="仿宋_GB2312"/>
                <w:sz w:val="24"/>
              </w:rPr>
            </w:pPr>
            <w:r>
              <w:rPr>
                <w:rFonts w:hint="eastAsia" w:ascii="仿宋_GB2312" w:hAnsi="仿宋_GB2312" w:eastAsia="仿宋_GB2312" w:cs="仿宋_GB2312"/>
                <w:sz w:val="24"/>
              </w:rPr>
              <w:t>(1000,5000],10元/月/终端</w:t>
            </w:r>
          </w:p>
          <w:p>
            <w:pPr>
              <w:jc w:val="left"/>
              <w:rPr>
                <w:rFonts w:ascii="仿宋_GB2312" w:hAnsi="仿宋_GB2312" w:eastAsia="仿宋_GB2312" w:cs="仿宋_GB2312"/>
                <w:sz w:val="24"/>
              </w:rPr>
            </w:pPr>
            <w:r>
              <w:rPr>
                <w:rFonts w:hint="eastAsia" w:ascii="仿宋_GB2312" w:hAnsi="仿宋_GB2312" w:eastAsia="仿宋_GB2312" w:cs="仿宋_GB2312"/>
                <w:sz w:val="24"/>
              </w:rPr>
              <w:t>(5000,+∞),5元/月/终端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04" w:type="dxa"/>
            <w:vMerge w:val="continue"/>
            <w:vAlign w:val="center"/>
          </w:tcPr>
          <w:p>
            <w:pPr>
              <w:jc w:val="center"/>
              <w:rPr>
                <w:rFonts w:ascii="仿宋_GB2312" w:hAnsi="仿宋_GB2312" w:eastAsia="仿宋_GB2312" w:cs="仿宋_GB2312"/>
                <w:sz w:val="24"/>
              </w:rPr>
            </w:pPr>
          </w:p>
        </w:tc>
        <w:tc>
          <w:tcPr>
            <w:tcW w:w="1617"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实时level-1行情</w:t>
            </w:r>
          </w:p>
        </w:tc>
        <w:tc>
          <w:tcPr>
            <w:tcW w:w="150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·互联网等专线网络；</w:t>
            </w:r>
          </w:p>
          <w:p>
            <w:pPr>
              <w:jc w:val="left"/>
              <w:rPr>
                <w:rFonts w:ascii="仿宋_GB2312" w:hAnsi="仿宋_GB2312" w:eastAsia="仿宋_GB2312" w:cs="仿宋_GB2312"/>
                <w:sz w:val="24"/>
              </w:rPr>
            </w:pPr>
            <w:r>
              <w:rPr>
                <w:rFonts w:hint="eastAsia" w:ascii="仿宋_GB2312" w:hAnsi="仿宋_GB2312" w:eastAsia="仿宋_GB2312" w:cs="仿宋_GB2312"/>
                <w:sz w:val="24"/>
              </w:rPr>
              <w:t>·无线；</w:t>
            </w:r>
          </w:p>
          <w:p>
            <w:pPr>
              <w:jc w:val="left"/>
              <w:rPr>
                <w:rFonts w:ascii="仿宋_GB2312" w:hAnsi="仿宋_GB2312" w:eastAsia="仿宋_GB2312" w:cs="仿宋_GB2312"/>
                <w:sz w:val="24"/>
              </w:rPr>
            </w:pPr>
            <w:r>
              <w:rPr>
                <w:rFonts w:hint="eastAsia" w:ascii="仿宋_GB2312" w:hAnsi="仿宋_GB2312" w:eastAsia="仿宋_GB2312" w:cs="仿宋_GB2312"/>
                <w:sz w:val="24"/>
              </w:rPr>
              <w:t>·其他</w:t>
            </w:r>
          </w:p>
        </w:tc>
        <w:tc>
          <w:tcPr>
            <w:tcW w:w="184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b/>
                <w:bCs/>
                <w:sz w:val="24"/>
              </w:rPr>
              <w:t>一种传输方式</w:t>
            </w:r>
            <w:r>
              <w:rPr>
                <w:rFonts w:hint="eastAsia" w:ascii="仿宋_GB2312" w:hAnsi="仿宋_GB2312" w:eastAsia="仿宋_GB2312" w:cs="仿宋_GB2312"/>
                <w:sz w:val="24"/>
              </w:rPr>
              <w:t>：30万元/年</w:t>
            </w:r>
          </w:p>
          <w:p>
            <w:pPr>
              <w:jc w:val="left"/>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b/>
                <w:bCs/>
                <w:sz w:val="24"/>
              </w:rPr>
              <w:t>两种及以上</w:t>
            </w:r>
            <w:r>
              <w:rPr>
                <w:rFonts w:hint="eastAsia" w:ascii="仿宋_GB2312" w:hAnsi="仿宋_GB2312" w:eastAsia="仿宋_GB2312" w:cs="仿宋_GB2312"/>
                <w:sz w:val="24"/>
              </w:rPr>
              <w:t>：45万元/年</w:t>
            </w:r>
          </w:p>
        </w:tc>
        <w:tc>
          <w:tcPr>
            <w:tcW w:w="3575"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10元/月/终端（暂免）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04" w:type="dxa"/>
            <w:vMerge w:val="continue"/>
            <w:vAlign w:val="center"/>
          </w:tcPr>
          <w:p>
            <w:pPr>
              <w:jc w:val="center"/>
              <w:rPr>
                <w:rFonts w:ascii="仿宋_GB2312" w:hAnsi="仿宋_GB2312" w:eastAsia="仿宋_GB2312" w:cs="仿宋_GB2312"/>
                <w:sz w:val="24"/>
              </w:rPr>
            </w:pPr>
          </w:p>
        </w:tc>
        <w:tc>
          <w:tcPr>
            <w:tcW w:w="1617"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延时level-1行情</w:t>
            </w:r>
          </w:p>
        </w:tc>
        <w:tc>
          <w:tcPr>
            <w:tcW w:w="150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其他</w:t>
            </w:r>
          </w:p>
        </w:tc>
        <w:tc>
          <w:tcPr>
            <w:tcW w:w="184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5万元/年</w:t>
            </w:r>
          </w:p>
        </w:tc>
        <w:tc>
          <w:tcPr>
            <w:tcW w:w="3575"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704" w:type="dxa"/>
            <w:vMerge w:val="continue"/>
            <w:vAlign w:val="center"/>
          </w:tcPr>
          <w:p>
            <w:pPr>
              <w:jc w:val="center"/>
              <w:rPr>
                <w:rFonts w:ascii="仿宋_GB2312" w:hAnsi="仿宋_GB2312" w:eastAsia="仿宋_GB2312" w:cs="仿宋_GB2312"/>
                <w:sz w:val="24"/>
              </w:rPr>
            </w:pPr>
          </w:p>
        </w:tc>
        <w:tc>
          <w:tcPr>
            <w:tcW w:w="1617"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数据</w:t>
            </w:r>
            <w:r>
              <w:rPr>
                <w:rFonts w:ascii="仿宋_GB2312" w:hAnsi="仿宋_GB2312" w:eastAsia="仿宋_GB2312" w:cs="仿宋_GB2312"/>
                <w:sz w:val="24"/>
              </w:rPr>
              <w:t>传输授权</w:t>
            </w:r>
          </w:p>
        </w:tc>
        <w:tc>
          <w:tcPr>
            <w:tcW w:w="150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w:t>
            </w:r>
          </w:p>
        </w:tc>
        <w:tc>
          <w:tcPr>
            <w:tcW w:w="1842"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12万元</w:t>
            </w:r>
            <w:r>
              <w:rPr>
                <w:rFonts w:ascii="仿宋_GB2312" w:hAnsi="仿宋_GB2312" w:eastAsia="仿宋_GB2312" w:cs="仿宋_GB2312"/>
                <w:sz w:val="24"/>
              </w:rPr>
              <w:t>/</w:t>
            </w:r>
            <w:r>
              <w:rPr>
                <w:rFonts w:hint="eastAsia" w:ascii="仿宋_GB2312" w:hAnsi="仿宋_GB2312" w:eastAsia="仿宋_GB2312" w:cs="仿宋_GB2312"/>
                <w:sz w:val="24"/>
              </w:rPr>
              <w:t>年</w:t>
            </w:r>
          </w:p>
        </w:tc>
        <w:tc>
          <w:tcPr>
            <w:tcW w:w="3575" w:type="dxa"/>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传输level-1行情用作非展示：</w:t>
            </w:r>
          </w:p>
          <w:p>
            <w:pPr>
              <w:jc w:val="left"/>
              <w:rPr>
                <w:rFonts w:ascii="仿宋_GB2312" w:hAnsi="仿宋_GB2312" w:eastAsia="仿宋_GB2312" w:cs="仿宋_GB2312"/>
                <w:sz w:val="24"/>
              </w:rPr>
            </w:pPr>
            <w:r>
              <w:rPr>
                <w:rFonts w:hint="eastAsia" w:ascii="仿宋_GB2312" w:hAnsi="仿宋_GB2312" w:eastAsia="仿宋_GB2312" w:cs="仿宋_GB2312"/>
                <w:sz w:val="24"/>
              </w:rPr>
              <w:t>全部产品：用户使用费2500元/月/用户或420美元/月/用户</w:t>
            </w:r>
          </w:p>
          <w:p>
            <w:pPr>
              <w:jc w:val="left"/>
              <w:rPr>
                <w:rFonts w:ascii="仿宋_GB2312" w:hAnsi="仿宋_GB2312" w:eastAsia="仿宋_GB2312" w:cs="仿宋_GB2312"/>
                <w:sz w:val="24"/>
              </w:rPr>
            </w:pPr>
            <w:r>
              <w:rPr>
                <w:rFonts w:hint="eastAsia" w:ascii="仿宋_GB2312" w:hAnsi="仿宋_GB2312" w:eastAsia="仿宋_GB2312" w:cs="仿宋_GB2312"/>
                <w:sz w:val="24"/>
              </w:rPr>
              <w:t>利率类产品：用户使用费1200元/月/用户或200美元/月/用户</w:t>
            </w:r>
          </w:p>
          <w:p>
            <w:pPr>
              <w:jc w:val="left"/>
              <w:rPr>
                <w:rFonts w:ascii="仿宋_GB2312" w:hAnsi="仿宋_GB2312" w:eastAsia="仿宋_GB2312" w:cs="仿宋_GB2312"/>
                <w:sz w:val="24"/>
              </w:rPr>
            </w:pPr>
            <w:r>
              <w:rPr>
                <w:rFonts w:hint="eastAsia" w:ascii="仿宋_GB2312" w:hAnsi="仿宋_GB2312" w:eastAsia="仿宋_GB2312" w:cs="仿宋_GB2312"/>
                <w:sz w:val="24"/>
              </w:rPr>
              <w:t>权益类产品：用户使用费2500元/月/用户或420美元/月/用户</w:t>
            </w:r>
          </w:p>
        </w:tc>
      </w:tr>
    </w:tbl>
    <w:p>
      <w:pPr>
        <w:rPr>
          <w:rFonts w:ascii="仿宋_GB2312" w:hAnsi="仿宋_GB2312" w:eastAsia="仿宋_GB2312" w:cs="仿宋_GB2312"/>
          <w:sz w:val="24"/>
        </w:rPr>
      </w:pPr>
      <w:r>
        <w:rPr>
          <w:rFonts w:hint="eastAsia" w:ascii="仿宋_GB2312" w:hAnsi="仿宋_GB2312" w:eastAsia="仿宋_GB2312" w:cs="仿宋_GB2312"/>
          <w:sz w:val="24"/>
        </w:rPr>
        <w:t>注：</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bCs/>
          <w:sz w:val="24"/>
        </w:rPr>
        <w:t>中金所</w:t>
      </w:r>
      <w:r>
        <w:rPr>
          <w:rFonts w:ascii="仿宋_GB2312" w:hAnsi="仿宋_GB2312" w:eastAsia="仿宋_GB2312" w:cs="仿宋_GB2312"/>
          <w:bCs/>
          <w:sz w:val="24"/>
        </w:rPr>
        <w:t>数据有限公司</w:t>
      </w:r>
      <w:r>
        <w:rPr>
          <w:rFonts w:hint="eastAsia" w:ascii="仿宋_GB2312" w:hAnsi="仿宋_GB2312" w:eastAsia="仿宋_GB2312" w:cs="仿宋_GB2312"/>
          <w:sz w:val="24"/>
        </w:rPr>
        <w:t>是目前中金所唯一授权开展中金所期货信息境内外经营业务的子公司；</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sz w:val="24"/>
        </w:rPr>
        <w:t>中金所数据有限公司受中金所委托对中金所行情经营进行管理，任何单位或个人传播和经营中金所的任何行情，须向中金所数据有限公司申请相关经营许可；</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sz w:val="24"/>
        </w:rPr>
        <w:t>其他传输方式包括：电视、广播、报纸、信息板、悬挂屏、计算机小工具、网页等渠道；</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sz w:val="24"/>
        </w:rPr>
        <w:t>获得中国大陆地区经营的信息经营机构可以申请获取中国境外（含港澳台）地区的经营授权，所申请的授权内容不得超过所获得的中国大陆（不含港澳台）地区经营授权的内容，并暂免收取境外授权许可费；</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sz w:val="24"/>
        </w:rPr>
        <w:t>获得实时level-2行情经营授权的机构免收相同传输方式的实时level-1、延时level-1行情授权许可费，获得实时level-1行情经营授权的机构免收相同传输方式的延时level-1行情授权许可费；</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sz w:val="24"/>
        </w:rPr>
        <w:t>通过互联网等专线网络传输方式接收level-2行情的信息商，自首个许可有效期满1年之日起，每月应缴纳PC终端使用费不低于1万元；</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sz w:val="24"/>
        </w:rPr>
        <w:t>即日起至2024年12月31日，无线终端使用费可享五折优惠；</w:t>
      </w:r>
    </w:p>
    <w:p>
      <w:pPr>
        <w:numPr>
          <w:ilvl w:val="0"/>
          <w:numId w:val="1"/>
        </w:numPr>
        <w:rPr>
          <w:rFonts w:ascii="仿宋_GB2312" w:hAnsi="仿宋_GB2312" w:eastAsia="仿宋_GB2312" w:cs="仿宋_GB2312"/>
          <w:sz w:val="24"/>
        </w:rPr>
      </w:pPr>
      <w:r>
        <w:rPr>
          <w:rFonts w:hint="eastAsia" w:ascii="仿宋_GB2312" w:hAnsi="仿宋_GB2312" w:eastAsia="仿宋_GB2312" w:cs="仿宋_GB2312"/>
          <w:bCs/>
          <w:sz w:val="24"/>
        </w:rPr>
        <w:t>已获得我所Level-2实时行情经营授权的</w:t>
      </w:r>
      <w:r>
        <w:rPr>
          <w:rFonts w:ascii="仿宋_GB2312" w:hAnsi="仿宋_GB2312" w:eastAsia="仿宋_GB2312" w:cs="仿宋_GB2312"/>
          <w:bCs/>
          <w:sz w:val="24"/>
        </w:rPr>
        <w:t>信息商</w:t>
      </w:r>
      <w:r>
        <w:rPr>
          <w:rFonts w:hint="eastAsia" w:ascii="仿宋_GB2312" w:hAnsi="仿宋_GB2312" w:eastAsia="仿宋_GB2312" w:cs="仿宋_GB2312"/>
          <w:bCs/>
          <w:sz w:val="24"/>
        </w:rPr>
        <w:t>，申请</w:t>
      </w:r>
      <w:r>
        <w:rPr>
          <w:rFonts w:ascii="仿宋_GB2312" w:hAnsi="仿宋_GB2312" w:eastAsia="仿宋_GB2312" w:cs="仿宋_GB2312"/>
          <w:bCs/>
          <w:sz w:val="24"/>
        </w:rPr>
        <w:t>数据传输授权时，可免收数据传输授权费。</w:t>
      </w:r>
    </w:p>
    <w:p>
      <w:pPr>
        <w:tabs>
          <w:tab w:val="left" w:pos="312"/>
        </w:tabs>
        <w:rPr>
          <w:rFonts w:ascii="仿宋_GB2312" w:hAnsi="仿宋_GB2312" w:eastAsia="仿宋_GB2312" w:cs="仿宋_GB2312"/>
          <w:sz w:val="24"/>
        </w:rPr>
      </w:pPr>
      <w:r>
        <w:rPr>
          <w:rFonts w:ascii="仿宋_GB2312" w:hAnsi="仿宋_GB2312" w:eastAsia="仿宋_GB2312" w:cs="仿宋_GB2312"/>
          <w:sz w:val="24"/>
        </w:rPr>
        <w:t>9.</w:t>
      </w:r>
      <w:r>
        <w:rPr>
          <w:rFonts w:hint="eastAsia" w:ascii="仿宋_GB2312" w:hAnsi="仿宋_GB2312" w:eastAsia="仿宋_GB2312" w:cs="仿宋_GB2312"/>
          <w:sz w:val="24"/>
        </w:rPr>
        <w:t>获得授权的数据传输机构将Level-1行情数据转发给下游客户用作非展示用途，包含但不限于自用、交易、研究及其他（除指数等衍生用途外）等，此类客户为数据的最终用户，不得再将数据转发给</w:t>
      </w:r>
      <w:r>
        <w:rPr>
          <w:rFonts w:ascii="仿宋_GB2312" w:hAnsi="仿宋_GB2312" w:eastAsia="仿宋_GB2312" w:cs="仿宋_GB2312"/>
          <w:sz w:val="24"/>
        </w:rPr>
        <w:t>其他用户</w:t>
      </w:r>
      <w:r>
        <w:rPr>
          <w:rFonts w:hint="eastAsia" w:ascii="仿宋_GB2312" w:hAnsi="仿宋_GB2312" w:eastAsia="仿宋_GB2312" w:cs="仿宋_GB2312"/>
          <w:sz w:val="24"/>
        </w:rPr>
        <w:t>。</w:t>
      </w: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tabs>
          <w:tab w:val="left" w:pos="312"/>
        </w:tabs>
        <w:rPr>
          <w:rFonts w:ascii="仿宋_GB2312" w:hAnsi="仿宋_GB2312" w:eastAsia="仿宋_GB2312" w:cs="仿宋_GB2312"/>
          <w:sz w:val="24"/>
        </w:rPr>
      </w:pPr>
    </w:p>
    <w:p>
      <w:pPr>
        <w:jc w:val="center"/>
        <w:rPr>
          <w:rFonts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中国金融期货交易所非展示型行情源数据</w:t>
      </w:r>
      <w:r>
        <w:rPr>
          <w:rFonts w:ascii="方正大标宋简体" w:hAnsi="方正大标宋简体" w:eastAsia="方正大标宋简体" w:cs="方正大标宋简体"/>
          <w:sz w:val="44"/>
          <w:szCs w:val="44"/>
        </w:rPr>
        <w:t>服务</w:t>
      </w:r>
      <w:r>
        <w:rPr>
          <w:rFonts w:hint="eastAsia" w:ascii="方正大标宋简体" w:hAnsi="方正大标宋简体" w:eastAsia="方正大标宋简体" w:cs="方正大标宋简体"/>
          <w:sz w:val="44"/>
          <w:szCs w:val="44"/>
        </w:rPr>
        <w:t>定价</w:t>
      </w:r>
    </w:p>
    <w:p>
      <w:pPr>
        <w:jc w:val="center"/>
        <w:rPr>
          <w:rFonts w:ascii="方正大标宋简体" w:hAnsi="方正大标宋简体" w:eastAsia="方正大标宋简体" w:cs="方正大标宋简体"/>
          <w:sz w:val="28"/>
          <w:szCs w:val="32"/>
        </w:rPr>
      </w:pPr>
      <w:r>
        <w:rPr>
          <w:rFonts w:hint="eastAsia" w:ascii="方正大标宋简体" w:hAnsi="方正大标宋简体" w:eastAsia="方正大标宋简体" w:cs="方正大标宋简体"/>
          <w:sz w:val="28"/>
          <w:szCs w:val="32"/>
        </w:rPr>
        <w:t>（适用于中国大陆，不含香港、澳门和台湾地区）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中国金融期货交易所非展示型行情源数据服务可分为托管机房模式与指定机房模式两种，具体定价如下：</w:t>
      </w:r>
    </w:p>
    <w:p>
      <w:pPr>
        <w:pStyle w:val="17"/>
        <w:numPr>
          <w:ilvl w:val="0"/>
          <w:numId w:val="2"/>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托管机房</w:t>
      </w:r>
    </w:p>
    <w:p>
      <w:pPr>
        <w:widowControl/>
        <w:spacing w:line="320" w:lineRule="atLeas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非展示型行情源数据</w:t>
      </w:r>
      <w:r>
        <w:rPr>
          <w:rFonts w:ascii="仿宋_GB2312" w:hAnsi="微软雅黑" w:eastAsia="仿宋_GB2312" w:cs="宋体"/>
          <w:kern w:val="0"/>
          <w:sz w:val="32"/>
          <w:szCs w:val="32"/>
        </w:rPr>
        <w:t>服务</w:t>
      </w:r>
      <w:r>
        <w:rPr>
          <w:rFonts w:hint="eastAsia" w:ascii="仿宋_GB2312" w:hAnsi="微软雅黑" w:eastAsia="仿宋_GB2312" w:cs="宋体"/>
          <w:kern w:val="0"/>
          <w:sz w:val="32"/>
          <w:szCs w:val="32"/>
        </w:rPr>
        <w:t>托管机房</w:t>
      </w:r>
      <w:r>
        <w:rPr>
          <w:rFonts w:ascii="仿宋_GB2312" w:hAnsi="微软雅黑" w:eastAsia="仿宋_GB2312" w:cs="宋体"/>
          <w:kern w:val="0"/>
          <w:sz w:val="32"/>
          <w:szCs w:val="32"/>
        </w:rPr>
        <w:t>模式指的是在</w:t>
      </w:r>
      <w:r>
        <w:rPr>
          <w:rFonts w:hint="eastAsia" w:ascii="仿宋_GB2312" w:hAnsi="微软雅黑" w:eastAsia="仿宋_GB2312" w:cs="宋体"/>
          <w:bCs/>
          <w:kern w:val="0"/>
          <w:sz w:val="32"/>
          <w:szCs w:val="32"/>
        </w:rPr>
        <w:t>中金所</w:t>
      </w:r>
      <w:r>
        <w:rPr>
          <w:rFonts w:hint="eastAsia" w:ascii="仿宋_GB2312" w:hAnsi="微软雅黑" w:eastAsia="仿宋_GB2312" w:cs="宋体"/>
          <w:kern w:val="0"/>
          <w:sz w:val="32"/>
          <w:szCs w:val="32"/>
        </w:rPr>
        <w:t>授权的托管机房内接收并使用中金所非展示型行情。</w:t>
      </w:r>
      <w:r>
        <w:rPr>
          <w:rFonts w:ascii="仿宋_GB2312" w:hAnsi="微软雅黑" w:eastAsia="仿宋_GB2312" w:cs="宋体"/>
          <w:kern w:val="0"/>
          <w:sz w:val="32"/>
          <w:szCs w:val="32"/>
        </w:rPr>
        <w:t xml:space="preserve"> </w:t>
      </w:r>
    </w:p>
    <w:p>
      <w:pPr>
        <w:widowControl/>
        <w:spacing w:line="320" w:lineRule="atLeas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托管机房非展示型行情产品可分为三大类：利率类、权益类或全部产品。</w:t>
      </w:r>
    </w:p>
    <w:tbl>
      <w:tblPr>
        <w:tblStyle w:val="9"/>
        <w:tblW w:w="9177" w:type="dxa"/>
        <w:tblInd w:w="108" w:type="dxa"/>
        <w:tblLayout w:type="autofit"/>
        <w:tblCellMar>
          <w:top w:w="0" w:type="dxa"/>
          <w:left w:w="108" w:type="dxa"/>
          <w:bottom w:w="0" w:type="dxa"/>
          <w:right w:w="108" w:type="dxa"/>
        </w:tblCellMar>
      </w:tblPr>
      <w:tblGrid>
        <w:gridCol w:w="851"/>
        <w:gridCol w:w="2864"/>
        <w:gridCol w:w="2806"/>
        <w:gridCol w:w="2656"/>
      </w:tblGrid>
      <w:tr>
        <w:tblPrEx>
          <w:tblCellMar>
            <w:top w:w="0" w:type="dxa"/>
            <w:left w:w="108" w:type="dxa"/>
            <w:bottom w:w="0" w:type="dxa"/>
            <w:right w:w="108" w:type="dxa"/>
          </w:tblCellMar>
        </w:tblPrEx>
        <w:trPr>
          <w:trHeight w:val="472"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产品</w:t>
            </w:r>
          </w:p>
        </w:tc>
        <w:tc>
          <w:tcPr>
            <w:tcW w:w="2864"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权益类</w:t>
            </w:r>
          </w:p>
        </w:tc>
        <w:tc>
          <w:tcPr>
            <w:tcW w:w="280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利率类</w:t>
            </w:r>
          </w:p>
        </w:tc>
        <w:tc>
          <w:tcPr>
            <w:tcW w:w="2656"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全部产品</w:t>
            </w:r>
          </w:p>
        </w:tc>
      </w:tr>
      <w:tr>
        <w:tblPrEx>
          <w:tblCellMar>
            <w:top w:w="0" w:type="dxa"/>
            <w:left w:w="108" w:type="dxa"/>
            <w:bottom w:w="0" w:type="dxa"/>
            <w:right w:w="108" w:type="dxa"/>
          </w:tblCellMar>
        </w:tblPrEx>
        <w:trPr>
          <w:trHeight w:val="706"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定价</w:t>
            </w:r>
          </w:p>
        </w:tc>
        <w:tc>
          <w:tcPr>
            <w:tcW w:w="2864" w:type="dxa"/>
            <w:tcBorders>
              <w:top w:val="single" w:color="auto" w:sz="4" w:space="0"/>
              <w:left w:val="nil"/>
              <w:bottom w:val="single" w:color="auto" w:sz="4" w:space="0"/>
              <w:right w:val="single" w:color="auto" w:sz="4" w:space="0"/>
            </w:tcBorders>
            <w:shd w:val="clear" w:color="auto" w:fill="auto"/>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24万元/年/账号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7万元/季度/账号</w:t>
            </w:r>
          </w:p>
          <w:p>
            <w:pPr>
              <w:jc w:val="left"/>
              <w:rPr>
                <w:rFonts w:ascii="仿宋_GB2312" w:hAnsi="仿宋_GB2312" w:eastAsia="仿宋_GB2312" w:cs="仿宋_GB2312"/>
                <w:sz w:val="24"/>
              </w:rPr>
            </w:pPr>
            <w:r>
              <w:rPr>
                <w:rFonts w:ascii="仿宋_GB2312" w:hAnsi="仿宋_GB2312" w:eastAsia="仿宋_GB2312" w:cs="仿宋_GB2312"/>
                <w:sz w:val="24"/>
              </w:rPr>
              <w:t>4</w:t>
            </w:r>
            <w:r>
              <w:rPr>
                <w:rFonts w:hint="eastAsia" w:ascii="仿宋_GB2312" w:hAnsi="仿宋_GB2312" w:eastAsia="仿宋_GB2312" w:cs="仿宋_GB2312"/>
                <w:sz w:val="24"/>
              </w:rPr>
              <w:t>万</w:t>
            </w:r>
            <w:r>
              <w:rPr>
                <w:rFonts w:ascii="仿宋_GB2312" w:hAnsi="仿宋_GB2312" w:eastAsia="仿宋_GB2312" w:cs="仿宋_GB2312"/>
                <w:sz w:val="24"/>
              </w:rPr>
              <w:t>美元</w:t>
            </w:r>
            <w:r>
              <w:rPr>
                <w:rFonts w:hint="eastAsia" w:ascii="仿宋_GB2312" w:hAnsi="仿宋_GB2312" w:eastAsia="仿宋_GB2312" w:cs="仿宋_GB2312"/>
                <w:sz w:val="24"/>
              </w:rPr>
              <w:t>/年</w:t>
            </w:r>
            <w:r>
              <w:rPr>
                <w:rFonts w:hint="eastAsia" w:ascii="仿宋_GB2312" w:hAnsi="仿宋_GB2312" w:eastAsia="仿宋_GB2312" w:cs="仿宋_GB2312"/>
                <w:sz w:val="24"/>
              </w:rPr>
              <w:t>/账号</w:t>
            </w:r>
          </w:p>
        </w:tc>
        <w:tc>
          <w:tcPr>
            <w:tcW w:w="2806" w:type="dxa"/>
            <w:tcBorders>
              <w:top w:val="single" w:color="auto" w:sz="4" w:space="0"/>
              <w:left w:val="nil"/>
              <w:bottom w:val="single" w:color="auto" w:sz="4" w:space="0"/>
              <w:right w:val="single" w:color="auto" w:sz="4" w:space="0"/>
            </w:tcBorders>
            <w:shd w:val="clear" w:color="auto" w:fill="auto"/>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6万元/年/账号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2万元/季度/账号</w:t>
            </w:r>
          </w:p>
          <w:p>
            <w:pPr>
              <w:jc w:val="left"/>
              <w:rPr>
                <w:rFonts w:ascii="仿宋_GB2312" w:hAnsi="仿宋_GB2312" w:eastAsia="仿宋_GB2312" w:cs="仿宋_GB2312"/>
                <w:sz w:val="24"/>
              </w:rPr>
            </w:pPr>
            <w:r>
              <w:rPr>
                <w:rFonts w:hint="eastAsia" w:ascii="仿宋_GB2312" w:hAnsi="仿宋_GB2312" w:eastAsia="仿宋_GB2312" w:cs="仿宋_GB2312"/>
                <w:sz w:val="24"/>
              </w:rPr>
              <w:t>1万</w:t>
            </w:r>
            <w:r>
              <w:rPr>
                <w:rFonts w:ascii="仿宋_GB2312" w:hAnsi="仿宋_GB2312" w:eastAsia="仿宋_GB2312" w:cs="仿宋_GB2312"/>
                <w:sz w:val="24"/>
              </w:rPr>
              <w:t>美元</w:t>
            </w:r>
            <w:r>
              <w:rPr>
                <w:rFonts w:hint="eastAsia" w:ascii="仿宋_GB2312" w:hAnsi="仿宋_GB2312" w:eastAsia="仿宋_GB2312" w:cs="仿宋_GB2312"/>
                <w:sz w:val="24"/>
              </w:rPr>
              <w:t>/年/账号</w:t>
            </w:r>
          </w:p>
        </w:tc>
        <w:tc>
          <w:tcPr>
            <w:tcW w:w="2656" w:type="dxa"/>
            <w:tcBorders>
              <w:top w:val="single" w:color="auto" w:sz="4" w:space="0"/>
              <w:left w:val="nil"/>
              <w:bottom w:val="single" w:color="auto" w:sz="4" w:space="0"/>
              <w:right w:val="single" w:color="auto" w:sz="4" w:space="0"/>
            </w:tcBorders>
            <w:shd w:val="clear" w:color="auto" w:fill="auto"/>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24万元/年/账号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7万元/季度/账号</w:t>
            </w:r>
          </w:p>
          <w:p>
            <w:pPr>
              <w:jc w:val="left"/>
              <w:rPr>
                <w:rFonts w:ascii="仿宋_GB2312" w:hAnsi="仿宋_GB2312" w:eastAsia="仿宋_GB2312" w:cs="仿宋_GB2312"/>
                <w:sz w:val="24"/>
              </w:rPr>
            </w:pPr>
            <w:r>
              <w:rPr>
                <w:rFonts w:hint="eastAsia" w:ascii="仿宋_GB2312" w:hAnsi="仿宋_GB2312" w:eastAsia="仿宋_GB2312" w:cs="仿宋_GB2312"/>
                <w:sz w:val="24"/>
              </w:rPr>
              <w:t>4万</w:t>
            </w:r>
            <w:r>
              <w:rPr>
                <w:rFonts w:ascii="仿宋_GB2312" w:hAnsi="仿宋_GB2312" w:eastAsia="仿宋_GB2312" w:cs="仿宋_GB2312"/>
                <w:sz w:val="24"/>
              </w:rPr>
              <w:t>美元</w:t>
            </w:r>
            <w:r>
              <w:rPr>
                <w:rFonts w:hint="eastAsia" w:ascii="仿宋_GB2312" w:hAnsi="仿宋_GB2312" w:eastAsia="仿宋_GB2312" w:cs="仿宋_GB2312"/>
                <w:sz w:val="24"/>
              </w:rPr>
              <w:t>/年/账号</w:t>
            </w:r>
          </w:p>
        </w:tc>
      </w:tr>
      <w:tr>
        <w:tblPrEx>
          <w:tblCellMar>
            <w:top w:w="0" w:type="dxa"/>
            <w:left w:w="108" w:type="dxa"/>
            <w:bottom w:w="0" w:type="dxa"/>
            <w:right w:w="108" w:type="dxa"/>
          </w:tblCellMar>
        </w:tblPrEx>
        <w:trPr>
          <w:trHeight w:val="1175" w:hRule="atLeast"/>
        </w:trPr>
        <w:tc>
          <w:tcPr>
            <w:tcW w:w="9177" w:type="dxa"/>
            <w:gridSpan w:val="4"/>
            <w:tcBorders>
              <w:top w:val="single" w:color="auto" w:sz="4" w:space="0"/>
            </w:tcBorders>
            <w:shd w:val="clear" w:color="auto" w:fill="auto"/>
            <w:vAlign w:val="center"/>
          </w:tcPr>
          <w:p>
            <w:pPr>
              <w:jc w:val="left"/>
              <w:rPr>
                <w:rFonts w:ascii="仿宋_GB2312" w:hAnsi="仿宋_GB2312" w:eastAsia="仿宋_GB2312" w:cs="仿宋_GB2312"/>
                <w:sz w:val="24"/>
              </w:rPr>
            </w:pPr>
            <w:r>
              <w:rPr>
                <w:rFonts w:hint="eastAsia" w:ascii="仿宋_GB2312" w:hAnsi="仿宋_GB2312" w:eastAsia="仿宋_GB2312" w:cs="仿宋_GB2312"/>
                <w:sz w:val="24"/>
              </w:rPr>
              <w:t>注：</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1.上述非展示型行情授权用途均不包含用作指数编制等衍生用途；</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2.非展示型</w:t>
            </w:r>
            <w:r>
              <w:rPr>
                <w:rFonts w:ascii="仿宋_GB2312" w:hAnsi="仿宋_GB2312" w:eastAsia="仿宋_GB2312" w:cs="仿宋_GB2312"/>
                <w:sz w:val="24"/>
              </w:rPr>
              <w:t>行情</w:t>
            </w:r>
            <w:r>
              <w:rPr>
                <w:rFonts w:hint="eastAsia" w:ascii="仿宋_GB2312" w:hAnsi="仿宋_GB2312" w:eastAsia="仿宋_GB2312" w:cs="仿宋_GB2312"/>
                <w:sz w:val="24"/>
              </w:rPr>
              <w:t>源数据服务仅限在托管机房内接收并使用，客户不得将源数据转发给其他任何机构或个人。</w:t>
            </w:r>
            <w:bookmarkStart w:id="0" w:name="_GoBack"/>
            <w:bookmarkEnd w:id="0"/>
          </w:p>
        </w:tc>
      </w:tr>
    </w:tbl>
    <w:p>
      <w:pPr>
        <w:rPr>
          <w:rFonts w:ascii="仿宋_GB2312" w:hAnsi="仿宋_GB2312" w:eastAsia="仿宋_GB2312" w:cs="仿宋_GB2312"/>
          <w:sz w:val="32"/>
          <w:szCs w:val="32"/>
        </w:rPr>
      </w:pPr>
      <w:r>
        <w:rPr>
          <w:rFonts w:hint="eastAsia" w:ascii="仿宋_GB2312" w:hAnsi="仿宋_GB2312" w:eastAsia="仿宋_GB2312" w:cs="仿宋_GB2312"/>
          <w:sz w:val="32"/>
          <w:szCs w:val="32"/>
        </w:rPr>
        <w:t>2、指定机房</w:t>
      </w:r>
    </w:p>
    <w:p>
      <w:pPr>
        <w:widowControl/>
        <w:spacing w:line="320" w:lineRule="atLeas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非展示型行情源数据指定机房模式</w:t>
      </w:r>
      <w:r>
        <w:rPr>
          <w:rFonts w:ascii="仿宋_GB2312" w:hAnsi="微软雅黑" w:eastAsia="仿宋_GB2312" w:cs="宋体"/>
          <w:kern w:val="0"/>
          <w:sz w:val="32"/>
          <w:szCs w:val="32"/>
        </w:rPr>
        <w:t>指的是</w:t>
      </w:r>
      <w:r>
        <w:rPr>
          <w:rFonts w:hint="eastAsia" w:ascii="仿宋_GB2312" w:hAnsi="微软雅黑" w:eastAsia="仿宋_GB2312" w:cs="宋体"/>
          <w:kern w:val="0"/>
          <w:sz w:val="32"/>
          <w:szCs w:val="32"/>
        </w:rPr>
        <w:t>符合资质要求的持牌金融机构在通过审核的指定机房内（不含授权托管机房）接收、使用或经营非展示型行情。</w:t>
      </w:r>
    </w:p>
    <w:p>
      <w:pPr>
        <w:ind w:firstLine="640" w:firstLineChars="200"/>
        <w:rPr>
          <w:rFonts w:ascii="仿宋_GB2312" w:hAnsi="仿宋_GB2312" w:eastAsia="仿宋_GB2312" w:cs="仿宋_GB2312"/>
          <w:sz w:val="32"/>
          <w:szCs w:val="32"/>
        </w:rPr>
      </w:pPr>
      <w:r>
        <w:rPr>
          <w:rFonts w:hint="eastAsia" w:ascii="仿宋_GB2312" w:hAnsi="微软雅黑" w:eastAsia="仿宋_GB2312" w:cs="宋体"/>
          <w:kern w:val="0"/>
          <w:sz w:val="32"/>
          <w:szCs w:val="32"/>
        </w:rPr>
        <w:t>指定机房许可用途可分为自用和转发两种，</w:t>
      </w:r>
      <w:r>
        <w:rPr>
          <w:rFonts w:ascii="仿宋_GB2312" w:hAnsi="微软雅黑" w:eastAsia="仿宋_GB2312" w:cs="宋体"/>
          <w:kern w:val="0"/>
          <w:sz w:val="32"/>
          <w:szCs w:val="32"/>
        </w:rPr>
        <w:t>具体</w:t>
      </w:r>
      <w:r>
        <w:rPr>
          <w:rFonts w:ascii="仿宋_GB2312" w:hAnsi="仿宋_GB2312" w:eastAsia="仿宋_GB2312" w:cs="仿宋_GB2312"/>
          <w:sz w:val="32"/>
          <w:szCs w:val="32"/>
        </w:rPr>
        <w:t>定价如下：</w:t>
      </w:r>
    </w:p>
    <w:tbl>
      <w:tblPr>
        <w:tblStyle w:val="9"/>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1225"/>
        <w:gridCol w:w="2693"/>
        <w:gridCol w:w="1523"/>
        <w:gridCol w:w="1908"/>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80" w:type="dxa"/>
          <w:trHeight w:val="586" w:hRule="atLeast"/>
        </w:trPr>
        <w:tc>
          <w:tcPr>
            <w:tcW w:w="1185" w:type="dxa"/>
            <w:shd w:val="clear" w:color="auto" w:fill="auto"/>
            <w:vAlign w:val="center"/>
          </w:tcPr>
          <w:p>
            <w:pPr>
              <w:widowControl/>
              <w:jc w:val="center"/>
              <w:rPr>
                <w:rFonts w:ascii="仿宋_GB2312" w:hAnsi="仿宋" w:eastAsia="仿宋_GB2312" w:cs="宋体"/>
                <w:b/>
                <w:bCs/>
                <w:color w:val="000000"/>
                <w:kern w:val="0"/>
                <w:sz w:val="24"/>
              </w:rPr>
            </w:pPr>
            <w:r>
              <w:rPr>
                <w:rFonts w:hint="eastAsia" w:ascii="仿宋_GB2312" w:hAnsi="仿宋" w:eastAsia="仿宋_GB2312" w:cs="宋体"/>
                <w:b/>
                <w:bCs/>
                <w:color w:val="000000"/>
                <w:kern w:val="0"/>
                <w:sz w:val="24"/>
              </w:rPr>
              <w:t>经营方式</w:t>
            </w:r>
          </w:p>
        </w:tc>
        <w:tc>
          <w:tcPr>
            <w:tcW w:w="1225" w:type="dxa"/>
            <w:shd w:val="clear" w:color="auto" w:fill="auto"/>
            <w:vAlign w:val="center"/>
          </w:tcPr>
          <w:p>
            <w:pPr>
              <w:widowControl/>
              <w:jc w:val="center"/>
              <w:rPr>
                <w:rFonts w:ascii="仿宋_GB2312" w:hAnsi="仿宋" w:eastAsia="仿宋_GB2312" w:cs="宋体"/>
                <w:b/>
                <w:bCs/>
                <w:color w:val="000000"/>
                <w:kern w:val="0"/>
                <w:sz w:val="24"/>
              </w:rPr>
            </w:pPr>
            <w:r>
              <w:rPr>
                <w:rFonts w:hint="eastAsia" w:ascii="仿宋_GB2312" w:hAnsi="仿宋" w:eastAsia="仿宋_GB2312" w:cs="宋体"/>
                <w:b/>
                <w:bCs/>
                <w:color w:val="000000"/>
                <w:kern w:val="0"/>
                <w:sz w:val="24"/>
              </w:rPr>
              <w:t>授权许可费</w:t>
            </w:r>
          </w:p>
        </w:tc>
        <w:tc>
          <w:tcPr>
            <w:tcW w:w="2693" w:type="dxa"/>
            <w:shd w:val="clear" w:color="auto" w:fill="auto"/>
            <w:vAlign w:val="center"/>
          </w:tcPr>
          <w:p>
            <w:pPr>
              <w:widowControl/>
              <w:jc w:val="center"/>
              <w:rPr>
                <w:rFonts w:ascii="仿宋_GB2312" w:hAnsi="仿宋" w:eastAsia="仿宋_GB2312" w:cs="宋体"/>
                <w:b/>
                <w:bCs/>
                <w:kern w:val="0"/>
                <w:sz w:val="24"/>
              </w:rPr>
            </w:pPr>
            <w:r>
              <w:rPr>
                <w:rFonts w:hint="eastAsia" w:ascii="仿宋_GB2312" w:hAnsi="仿宋" w:eastAsia="仿宋_GB2312" w:cs="宋体"/>
                <w:b/>
                <w:bCs/>
                <w:kern w:val="0"/>
                <w:sz w:val="24"/>
              </w:rPr>
              <w:t>自用应用使用费</w:t>
            </w:r>
          </w:p>
        </w:tc>
        <w:tc>
          <w:tcPr>
            <w:tcW w:w="1523" w:type="dxa"/>
            <w:vAlign w:val="center"/>
          </w:tcPr>
          <w:p>
            <w:pPr>
              <w:widowControl/>
              <w:jc w:val="center"/>
              <w:rPr>
                <w:rFonts w:ascii="仿宋_GB2312" w:hAnsi="仿宋" w:eastAsia="仿宋_GB2312" w:cs="宋体"/>
                <w:b/>
                <w:bCs/>
                <w:color w:val="000000"/>
                <w:kern w:val="0"/>
                <w:sz w:val="24"/>
              </w:rPr>
            </w:pPr>
            <w:r>
              <w:rPr>
                <w:rFonts w:hint="eastAsia" w:ascii="仿宋_GB2312" w:hAnsi="仿宋" w:eastAsia="仿宋_GB2312" w:cs="宋体"/>
                <w:b/>
                <w:bCs/>
                <w:kern w:val="0"/>
                <w:sz w:val="24"/>
              </w:rPr>
              <w:t>用户应用使用费</w:t>
            </w:r>
          </w:p>
        </w:tc>
        <w:tc>
          <w:tcPr>
            <w:tcW w:w="1908" w:type="dxa"/>
            <w:shd w:val="clear" w:color="auto" w:fill="auto"/>
            <w:vAlign w:val="center"/>
          </w:tcPr>
          <w:p>
            <w:pPr>
              <w:widowControl/>
              <w:jc w:val="center"/>
              <w:rPr>
                <w:rFonts w:ascii="仿宋_GB2312" w:hAnsi="仿宋" w:eastAsia="仿宋_GB2312" w:cs="宋体"/>
                <w:b/>
                <w:bCs/>
                <w:color w:val="000000"/>
                <w:kern w:val="0"/>
                <w:sz w:val="24"/>
              </w:rPr>
            </w:pPr>
            <w:r>
              <w:rPr>
                <w:rFonts w:hint="eastAsia" w:ascii="仿宋_GB2312" w:hAnsi="仿宋" w:eastAsia="仿宋_GB2312" w:cs="宋体"/>
                <w:b/>
                <w:bCs/>
                <w:color w:val="000000"/>
                <w:kern w:val="0"/>
                <w:sz w:val="24"/>
              </w:rPr>
              <w:t>技术服务费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80" w:type="dxa"/>
          <w:trHeight w:val="795" w:hRule="atLeast"/>
        </w:trPr>
        <w:tc>
          <w:tcPr>
            <w:tcW w:w="1185" w:type="dxa"/>
            <w:tcBorders>
              <w:bottom w:val="single" w:color="auto" w:sz="4" w:space="0"/>
            </w:tcBorders>
            <w:shd w:val="clear" w:color="auto" w:fill="auto"/>
            <w:vAlign w:val="center"/>
          </w:tcPr>
          <w:p>
            <w:pPr>
              <w:widowControl/>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授权客户自用</w:t>
            </w:r>
          </w:p>
        </w:tc>
        <w:tc>
          <w:tcPr>
            <w:tcW w:w="1225" w:type="dxa"/>
            <w:vMerge w:val="restart"/>
            <w:tcBorders>
              <w:bottom w:val="single" w:color="auto" w:sz="4" w:space="0"/>
            </w:tcBorders>
            <w:shd w:val="clear" w:color="auto" w:fill="auto"/>
            <w:vAlign w:val="center"/>
          </w:tcPr>
          <w:p>
            <w:pPr>
              <w:widowControl/>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24万元/年或4万美元/年/账号</w:t>
            </w:r>
          </w:p>
        </w:tc>
        <w:tc>
          <w:tcPr>
            <w:tcW w:w="2693" w:type="dxa"/>
            <w:tcBorders>
              <w:bottom w:val="single" w:color="auto" w:sz="4" w:space="0"/>
            </w:tcBorders>
            <w:shd w:val="clear" w:color="auto" w:fill="auto"/>
            <w:vAlign w:val="center"/>
          </w:tcPr>
          <w:p>
            <w:pPr>
              <w:widowControl/>
              <w:jc w:val="center"/>
              <w:rPr>
                <w:rFonts w:ascii="仿宋_GB2312" w:hAnsi="仿宋" w:eastAsia="仿宋_GB2312" w:cs="宋体"/>
                <w:kern w:val="0"/>
                <w:sz w:val="24"/>
              </w:rPr>
            </w:pPr>
            <w:r>
              <w:rPr>
                <w:rFonts w:hint="eastAsia" w:ascii="仿宋_GB2312" w:hAnsi="仿宋" w:eastAsia="仿宋_GB2312" w:cs="宋体"/>
                <w:kern w:val="0"/>
                <w:sz w:val="24"/>
              </w:rPr>
              <w:t>20个免费应用，超出部分2000元/月/应用或320美元/月/应用</w:t>
            </w:r>
          </w:p>
        </w:tc>
        <w:tc>
          <w:tcPr>
            <w:tcW w:w="1523" w:type="dxa"/>
            <w:tcBorders>
              <w:bottom w:val="single" w:color="auto" w:sz="4" w:space="0"/>
            </w:tcBorders>
            <w:vAlign w:val="center"/>
          </w:tcPr>
          <w:p>
            <w:pPr>
              <w:widowControl/>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w:t>
            </w:r>
          </w:p>
        </w:tc>
        <w:tc>
          <w:tcPr>
            <w:tcW w:w="1908" w:type="dxa"/>
            <w:vMerge w:val="restart"/>
            <w:tcBorders>
              <w:bottom w:val="single" w:color="auto" w:sz="4" w:space="0"/>
            </w:tcBorders>
            <w:shd w:val="clear" w:color="auto" w:fill="auto"/>
            <w:vAlign w:val="center"/>
          </w:tcPr>
          <w:p>
            <w:pPr>
              <w:widowControl/>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6万元/年或</w:t>
            </w:r>
            <w:r>
              <w:rPr>
                <w:rFonts w:hint="eastAsia" w:ascii="仿宋_GB2312" w:hAnsi="仿宋" w:eastAsia="仿宋_GB2312" w:cs="宋体"/>
                <w:color w:val="000000"/>
                <w:kern w:val="0"/>
                <w:sz w:val="24"/>
              </w:rPr>
              <w:br w:type="textWrapping"/>
            </w:r>
            <w:r>
              <w:rPr>
                <w:rFonts w:hint="eastAsia" w:ascii="仿宋_GB2312" w:hAnsi="仿宋" w:eastAsia="仿宋_GB2312" w:cs="宋体"/>
                <w:color w:val="000000"/>
                <w:kern w:val="0"/>
                <w:sz w:val="24"/>
              </w:rPr>
              <w:t>0.5万元/月或1万</w:t>
            </w:r>
            <w:r>
              <w:rPr>
                <w:rFonts w:ascii="仿宋_GB2312" w:hAnsi="仿宋" w:eastAsia="仿宋_GB2312" w:cs="宋体"/>
                <w:color w:val="000000"/>
                <w:kern w:val="0"/>
                <w:sz w:val="24"/>
              </w:rPr>
              <w:t>美元</w:t>
            </w:r>
            <w:r>
              <w:rPr>
                <w:rFonts w:hint="eastAsia" w:ascii="仿宋_GB2312" w:hAnsi="仿宋" w:eastAsia="仿宋_GB2312" w:cs="宋体"/>
                <w:color w:val="000000"/>
                <w:kern w:val="0"/>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80" w:type="dxa"/>
          <w:trHeight w:val="1073" w:hRule="atLeast"/>
        </w:trPr>
        <w:tc>
          <w:tcPr>
            <w:tcW w:w="1185" w:type="dxa"/>
            <w:tcBorders>
              <w:bottom w:val="single" w:color="auto" w:sz="4" w:space="0"/>
            </w:tcBorders>
            <w:shd w:val="clear" w:color="auto" w:fill="auto"/>
            <w:vAlign w:val="center"/>
          </w:tcPr>
          <w:p>
            <w:pPr>
              <w:widowControl/>
              <w:jc w:val="center"/>
              <w:rPr>
                <w:rFonts w:ascii="仿宋_GB2312" w:hAnsi="仿宋" w:eastAsia="仿宋_GB2312" w:cs="宋体"/>
                <w:color w:val="000000"/>
                <w:kern w:val="0"/>
                <w:sz w:val="24"/>
              </w:rPr>
            </w:pPr>
            <w:r>
              <w:rPr>
                <w:rFonts w:hint="eastAsia" w:ascii="仿宋_GB2312" w:hAnsi="仿宋" w:eastAsia="仿宋_GB2312" w:cs="宋体"/>
                <w:color w:val="000000"/>
                <w:kern w:val="0"/>
                <w:sz w:val="24"/>
              </w:rPr>
              <w:t>授权客户经营</w:t>
            </w:r>
          </w:p>
        </w:tc>
        <w:tc>
          <w:tcPr>
            <w:tcW w:w="1225" w:type="dxa"/>
            <w:vMerge w:val="continue"/>
            <w:tcBorders>
              <w:bottom w:val="single" w:color="auto" w:sz="4" w:space="0"/>
            </w:tcBorders>
            <w:shd w:val="clear" w:color="auto" w:fill="auto"/>
            <w:vAlign w:val="center"/>
          </w:tcPr>
          <w:p>
            <w:pPr>
              <w:widowControl/>
              <w:jc w:val="left"/>
              <w:rPr>
                <w:rFonts w:ascii="仿宋_GB2312" w:hAnsi="仿宋" w:eastAsia="仿宋_GB2312" w:cs="宋体"/>
                <w:color w:val="000000"/>
                <w:kern w:val="0"/>
                <w:sz w:val="24"/>
              </w:rPr>
            </w:pPr>
          </w:p>
        </w:tc>
        <w:tc>
          <w:tcPr>
            <w:tcW w:w="2693" w:type="dxa"/>
            <w:tcBorders>
              <w:bottom w:val="single" w:color="auto" w:sz="4" w:space="0"/>
            </w:tcBorders>
            <w:shd w:val="clear" w:color="auto" w:fill="auto"/>
            <w:vAlign w:val="center"/>
          </w:tcPr>
          <w:p>
            <w:pPr>
              <w:widowControl/>
              <w:jc w:val="center"/>
              <w:rPr>
                <w:rFonts w:ascii="仿宋_GB2312" w:hAnsi="仿宋" w:eastAsia="仿宋_GB2312" w:cs="宋体"/>
                <w:kern w:val="0"/>
                <w:sz w:val="24"/>
              </w:rPr>
            </w:pPr>
            <w:r>
              <w:rPr>
                <w:rFonts w:hint="eastAsia" w:ascii="仿宋_GB2312" w:hAnsi="仿宋" w:eastAsia="仿宋_GB2312" w:cs="宋体"/>
                <w:kern w:val="0"/>
                <w:sz w:val="24"/>
              </w:rPr>
              <w:t>20个免费应用，超出部分2000元/月/应用或320美元/月/应用</w:t>
            </w:r>
          </w:p>
        </w:tc>
        <w:tc>
          <w:tcPr>
            <w:tcW w:w="1523" w:type="dxa"/>
            <w:tcBorders>
              <w:bottom w:val="single" w:color="auto" w:sz="4" w:space="0"/>
            </w:tcBorders>
            <w:vAlign w:val="center"/>
          </w:tcPr>
          <w:p>
            <w:pPr>
              <w:widowControl/>
              <w:jc w:val="left"/>
              <w:rPr>
                <w:rFonts w:ascii="仿宋_GB2312" w:hAnsi="仿宋" w:eastAsia="仿宋_GB2312" w:cs="宋体"/>
                <w:color w:val="000000"/>
                <w:kern w:val="0"/>
                <w:sz w:val="24"/>
              </w:rPr>
            </w:pPr>
            <w:r>
              <w:rPr>
                <w:rFonts w:hint="eastAsia" w:ascii="仿宋_GB2312" w:hAnsi="仿宋" w:eastAsia="仿宋_GB2312"/>
                <w:color w:val="000000"/>
              </w:rPr>
              <w:t>2000元/月/应用</w:t>
            </w:r>
            <w:r>
              <w:rPr>
                <w:rFonts w:hint="eastAsia" w:ascii="仿宋_GB2312" w:hAnsi="仿宋" w:eastAsia="仿宋_GB2312" w:cs="宋体"/>
                <w:kern w:val="0"/>
                <w:sz w:val="24"/>
              </w:rPr>
              <w:t>或320美元/月/应用</w:t>
            </w:r>
          </w:p>
        </w:tc>
        <w:tc>
          <w:tcPr>
            <w:tcW w:w="1908" w:type="dxa"/>
            <w:vMerge w:val="continue"/>
            <w:tcBorders>
              <w:bottom w:val="single" w:color="auto" w:sz="4" w:space="0"/>
            </w:tcBorders>
            <w:shd w:val="clear" w:color="auto" w:fill="auto"/>
            <w:vAlign w:val="center"/>
          </w:tcPr>
          <w:p>
            <w:pPr>
              <w:widowControl/>
              <w:jc w:val="left"/>
              <w:rPr>
                <w:rFonts w:ascii="仿宋_GB2312" w:hAnsi="仿宋" w:eastAsia="仿宋_GB2312"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1" w:hRule="atLeast"/>
        </w:trPr>
        <w:tc>
          <w:tcPr>
            <w:tcW w:w="9214" w:type="dxa"/>
            <w:gridSpan w:val="6"/>
            <w:tcBorders>
              <w:top w:val="single" w:color="auto" w:sz="4" w:space="0"/>
              <w:left w:val="nil"/>
              <w:bottom w:val="nil"/>
              <w:right w:val="nil"/>
            </w:tcBorders>
          </w:tcPr>
          <w:p>
            <w:pPr>
              <w:widowControl/>
              <w:jc w:val="left"/>
              <w:rPr>
                <w:rFonts w:ascii="仿宋_GB2312" w:hAnsi="仿宋" w:eastAsia="仿宋_GB2312" w:cs="宋体"/>
                <w:kern w:val="0"/>
                <w:sz w:val="24"/>
              </w:rPr>
            </w:pPr>
            <w:r>
              <w:rPr>
                <w:rFonts w:hint="eastAsia" w:ascii="仿宋_GB2312" w:hAnsi="仿宋" w:eastAsia="仿宋_GB2312" w:cs="宋体"/>
                <w:kern w:val="0"/>
                <w:sz w:val="24"/>
              </w:rPr>
              <w:t>注：</w:t>
            </w:r>
            <w:r>
              <w:rPr>
                <w:rFonts w:hint="eastAsia" w:ascii="仿宋_GB2312" w:hAnsi="仿宋" w:eastAsia="仿宋_GB2312" w:cs="宋体"/>
                <w:kern w:val="0"/>
                <w:sz w:val="24"/>
              </w:rPr>
              <w:br w:type="textWrapping"/>
            </w:r>
            <w:r>
              <w:rPr>
                <w:rFonts w:hint="eastAsia" w:ascii="仿宋_GB2312" w:hAnsi="仿宋" w:eastAsia="仿宋_GB2312" w:cs="宋体"/>
                <w:kern w:val="0"/>
                <w:sz w:val="24"/>
              </w:rPr>
              <w:t>1.上述非展示型行情授权用途均不包含用作指数编制等衍生用途；</w:t>
            </w:r>
          </w:p>
          <w:p>
            <w:pPr>
              <w:widowControl/>
              <w:jc w:val="left"/>
              <w:rPr>
                <w:rFonts w:ascii="仿宋_GB2312" w:hAnsi="仿宋" w:eastAsia="仿宋_GB2312" w:cs="宋体"/>
                <w:kern w:val="0"/>
                <w:sz w:val="24"/>
              </w:rPr>
            </w:pPr>
            <w:r>
              <w:rPr>
                <w:rFonts w:hint="eastAsia" w:ascii="仿宋_GB2312" w:hAnsi="仿宋" w:eastAsia="仿宋_GB2312" w:cs="宋体"/>
                <w:kern w:val="0"/>
                <w:sz w:val="24"/>
              </w:rPr>
              <w:t xml:space="preserve">2.上述客户指获得中金所数据有限公司源数据自用或经营授权的机构，上述用户指客户的源数据转发对象且是源数据的最终用户； </w:t>
            </w:r>
            <w:r>
              <w:rPr>
                <w:rFonts w:hint="eastAsia" w:ascii="仿宋_GB2312" w:hAnsi="仿宋" w:eastAsia="仿宋_GB2312" w:cs="宋体"/>
                <w:kern w:val="0"/>
                <w:sz w:val="24"/>
              </w:rPr>
              <w:br w:type="textWrapping"/>
            </w:r>
            <w:r>
              <w:rPr>
                <w:rFonts w:hint="eastAsia" w:ascii="仿宋_GB2312" w:hAnsi="仿宋" w:eastAsia="仿宋_GB2312" w:cs="宋体"/>
                <w:kern w:val="0"/>
                <w:sz w:val="24"/>
              </w:rPr>
              <w:t>4.应用指获取、处理或使用行情源数据的程序或设备，包括将行情源数据用于非展示用途的应用及用于展示用途的终端；</w:t>
            </w:r>
            <w:r>
              <w:rPr>
                <w:rFonts w:hint="eastAsia" w:ascii="仿宋_GB2312" w:hAnsi="仿宋" w:eastAsia="仿宋_GB2312" w:cs="宋体"/>
                <w:kern w:val="0"/>
                <w:sz w:val="24"/>
              </w:rPr>
              <w:br w:type="textWrapping"/>
            </w:r>
            <w:r>
              <w:rPr>
                <w:rFonts w:hint="eastAsia" w:ascii="仿宋_GB2312" w:hAnsi="仿宋" w:eastAsia="仿宋_GB2312" w:cs="宋体"/>
                <w:kern w:val="0"/>
                <w:sz w:val="24"/>
              </w:rPr>
              <w:t>5.客户应建立应用管理系统，对应用进行有效的管理，防止通过使用行情源数据的程序或设备获取源数据；</w:t>
            </w:r>
          </w:p>
          <w:p>
            <w:pPr>
              <w:widowControl/>
              <w:jc w:val="left"/>
              <w:rPr>
                <w:rFonts w:ascii="仿宋_GB2312" w:hAnsi="仿宋" w:eastAsia="仿宋_GB2312" w:cs="宋体"/>
                <w:kern w:val="0"/>
                <w:sz w:val="24"/>
              </w:rPr>
            </w:pPr>
            <w:r>
              <w:rPr>
                <w:rFonts w:hint="eastAsia" w:ascii="仿宋_GB2312" w:hAnsi="仿宋" w:eastAsia="仿宋_GB2312" w:cs="宋体"/>
                <w:kern w:val="0"/>
                <w:sz w:val="24"/>
              </w:rPr>
              <w:t>6.客户申请经营授权需具备或同时申请自用授权。</w:t>
            </w: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p>
            <w:pPr>
              <w:rPr>
                <w:rFonts w:ascii="仿宋_GB2312" w:hAnsi="仿宋" w:eastAsia="仿宋_GB2312" w:cs="宋体"/>
                <w:sz w:val="24"/>
              </w:rPr>
            </w:pPr>
          </w:p>
        </w:tc>
      </w:tr>
    </w:tbl>
    <w:p>
      <w:pPr>
        <w:jc w:val="center"/>
        <w:rPr>
          <w:rFonts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中国金融期货交易所历史数据服务定价</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中国金融期货交易所（简称“中金所”）历史数据产品是指中金所数据有限公司提供的所有中金所上市合约的历史行情数据，具体定价如下：</w:t>
      </w:r>
    </w:p>
    <w:tbl>
      <w:tblPr>
        <w:tblStyle w:val="9"/>
        <w:tblW w:w="878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51"/>
        <w:gridCol w:w="2516"/>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3751"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数据产品类型</w:t>
            </w:r>
          </w:p>
        </w:tc>
        <w:tc>
          <w:tcPr>
            <w:tcW w:w="2516" w:type="dxa"/>
            <w:shd w:val="clear" w:color="auto" w:fill="auto"/>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更新频率</w:t>
            </w:r>
          </w:p>
        </w:tc>
        <w:tc>
          <w:tcPr>
            <w:tcW w:w="2516"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近3年数据定价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3751"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每秒两笔行情历史数据（Level-2行情）</w:t>
            </w:r>
          </w:p>
        </w:tc>
        <w:tc>
          <w:tcPr>
            <w:tcW w:w="2516" w:type="dxa"/>
            <w:shd w:val="clear" w:color="auto" w:fill="auto"/>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一秒</w:t>
            </w:r>
            <w:r>
              <w:rPr>
                <w:rFonts w:ascii="仿宋_GB2312" w:hAnsi="仿宋" w:eastAsia="仿宋_GB2312" w:cs="宋体"/>
                <w:bCs/>
                <w:color w:val="000000"/>
                <w:kern w:val="0"/>
                <w:sz w:val="24"/>
              </w:rPr>
              <w:t>两次</w:t>
            </w:r>
          </w:p>
        </w:tc>
        <w:tc>
          <w:tcPr>
            <w:tcW w:w="2516"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2400元/月</w:t>
            </w:r>
            <w:r>
              <w:rPr>
                <w:rFonts w:hint="eastAsia" w:ascii="仿宋_GB2312" w:hAnsi="仿宋" w:eastAsia="仿宋_GB2312" w:cs="宋体"/>
                <w:bCs/>
                <w:color w:val="000000"/>
                <w:kern w:val="0"/>
                <w:sz w:val="24"/>
              </w:rPr>
              <w:br w:type="textWrapping"/>
            </w:r>
            <w:r>
              <w:rPr>
                <w:rFonts w:hint="eastAsia" w:ascii="仿宋_GB2312" w:hAnsi="仿宋" w:eastAsia="仿宋_GB2312" w:cs="宋体"/>
                <w:bCs/>
                <w:color w:val="000000"/>
                <w:kern w:val="0"/>
                <w:sz w:val="24"/>
              </w:rPr>
              <w:t>400美元/月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3751"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每秒两笔行情历史数据（Level-1行情）</w:t>
            </w:r>
          </w:p>
        </w:tc>
        <w:tc>
          <w:tcPr>
            <w:tcW w:w="2516" w:type="dxa"/>
            <w:shd w:val="clear" w:color="auto" w:fill="auto"/>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一秒</w:t>
            </w:r>
            <w:r>
              <w:rPr>
                <w:rFonts w:ascii="仿宋_GB2312" w:hAnsi="仿宋" w:eastAsia="仿宋_GB2312" w:cs="宋体"/>
                <w:bCs/>
                <w:color w:val="000000"/>
                <w:kern w:val="0"/>
                <w:sz w:val="24"/>
              </w:rPr>
              <w:t>两次</w:t>
            </w:r>
          </w:p>
        </w:tc>
        <w:tc>
          <w:tcPr>
            <w:tcW w:w="2516"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1800元/月</w:t>
            </w:r>
            <w:r>
              <w:rPr>
                <w:rFonts w:hint="eastAsia" w:ascii="仿宋_GB2312" w:hAnsi="仿宋" w:eastAsia="仿宋_GB2312" w:cs="宋体"/>
                <w:bCs/>
                <w:color w:val="000000"/>
                <w:kern w:val="0"/>
                <w:sz w:val="24"/>
              </w:rPr>
              <w:br w:type="textWrapping"/>
            </w:r>
            <w:r>
              <w:rPr>
                <w:rFonts w:hint="eastAsia" w:ascii="仿宋_GB2312" w:hAnsi="仿宋" w:eastAsia="仿宋_GB2312" w:cs="宋体"/>
                <w:bCs/>
                <w:color w:val="000000"/>
                <w:kern w:val="0"/>
                <w:sz w:val="24"/>
              </w:rPr>
              <w:t>300美元/月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3751"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1分钟行情历史数据</w:t>
            </w:r>
          </w:p>
        </w:tc>
        <w:tc>
          <w:tcPr>
            <w:tcW w:w="2516" w:type="dxa"/>
            <w:shd w:val="clear" w:color="auto" w:fill="auto"/>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一分钟</w:t>
            </w:r>
            <w:r>
              <w:rPr>
                <w:rFonts w:ascii="仿宋_GB2312" w:hAnsi="仿宋" w:eastAsia="仿宋_GB2312" w:cs="宋体"/>
                <w:bCs/>
                <w:color w:val="000000"/>
                <w:kern w:val="0"/>
                <w:sz w:val="24"/>
              </w:rPr>
              <w:t>一次</w:t>
            </w:r>
          </w:p>
        </w:tc>
        <w:tc>
          <w:tcPr>
            <w:tcW w:w="2516"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400元/月</w:t>
            </w:r>
            <w:r>
              <w:rPr>
                <w:rFonts w:hint="eastAsia" w:ascii="仿宋_GB2312" w:hAnsi="仿宋" w:eastAsia="仿宋_GB2312" w:cs="宋体"/>
                <w:bCs/>
                <w:color w:val="000000"/>
                <w:kern w:val="0"/>
                <w:sz w:val="24"/>
              </w:rPr>
              <w:br w:type="textWrapping"/>
            </w:r>
            <w:r>
              <w:rPr>
                <w:rFonts w:hint="eastAsia" w:ascii="仿宋_GB2312" w:hAnsi="仿宋" w:eastAsia="仿宋_GB2312" w:cs="宋体"/>
                <w:bCs/>
                <w:color w:val="000000"/>
                <w:kern w:val="0"/>
                <w:sz w:val="24"/>
              </w:rPr>
              <w:t>70美元/月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3751"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5分钟行情历史数据</w:t>
            </w:r>
          </w:p>
        </w:tc>
        <w:tc>
          <w:tcPr>
            <w:tcW w:w="2516" w:type="dxa"/>
            <w:shd w:val="clear" w:color="auto" w:fill="auto"/>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五分钟</w:t>
            </w:r>
            <w:r>
              <w:rPr>
                <w:rFonts w:ascii="仿宋_GB2312" w:hAnsi="仿宋" w:eastAsia="仿宋_GB2312" w:cs="宋体"/>
                <w:bCs/>
                <w:color w:val="000000"/>
                <w:kern w:val="0"/>
                <w:sz w:val="24"/>
              </w:rPr>
              <w:t>一次</w:t>
            </w:r>
          </w:p>
        </w:tc>
        <w:tc>
          <w:tcPr>
            <w:tcW w:w="2516" w:type="dxa"/>
            <w:shd w:val="clear" w:color="auto" w:fill="auto"/>
            <w:vAlign w:val="center"/>
          </w:tcPr>
          <w:p>
            <w:pPr>
              <w:widowControl/>
              <w:jc w:val="center"/>
              <w:rPr>
                <w:rFonts w:ascii="仿宋_GB2312" w:hAnsi="仿宋" w:eastAsia="仿宋_GB2312" w:cs="宋体"/>
                <w:bCs/>
                <w:color w:val="000000"/>
                <w:kern w:val="0"/>
                <w:sz w:val="24"/>
              </w:rPr>
            </w:pPr>
            <w:r>
              <w:rPr>
                <w:rFonts w:hint="eastAsia" w:ascii="仿宋_GB2312" w:hAnsi="仿宋" w:eastAsia="仿宋_GB2312" w:cs="宋体"/>
                <w:bCs/>
                <w:color w:val="000000"/>
                <w:kern w:val="0"/>
                <w:sz w:val="24"/>
              </w:rPr>
              <w:t>300元/月</w:t>
            </w:r>
            <w:r>
              <w:rPr>
                <w:rFonts w:hint="eastAsia" w:ascii="仿宋_GB2312" w:hAnsi="仿宋" w:eastAsia="仿宋_GB2312" w:cs="宋体"/>
                <w:bCs/>
                <w:color w:val="000000"/>
                <w:kern w:val="0"/>
                <w:sz w:val="24"/>
              </w:rPr>
              <w:br w:type="textWrapping"/>
            </w:r>
            <w:r>
              <w:rPr>
                <w:rFonts w:hint="eastAsia" w:ascii="仿宋_GB2312" w:hAnsi="仿宋" w:eastAsia="仿宋_GB2312" w:cs="宋体"/>
                <w:bCs/>
                <w:color w:val="000000"/>
                <w:kern w:val="0"/>
                <w:sz w:val="24"/>
              </w:rPr>
              <w:t>50美元/月</w:t>
            </w:r>
          </w:p>
        </w:tc>
      </w:tr>
    </w:tbl>
    <w:p>
      <w:pPr>
        <w:rPr>
          <w:rFonts w:ascii="仿宋_GB2312" w:hAnsi="仿宋_GB2312" w:eastAsia="仿宋_GB2312" w:cs="仿宋_GB2312"/>
          <w:sz w:val="24"/>
        </w:rPr>
      </w:pPr>
      <w:r>
        <w:rPr>
          <w:rFonts w:hint="eastAsia" w:ascii="仿宋_GB2312" w:hAnsi="仿宋_GB2312" w:eastAsia="仿宋_GB2312" w:cs="仿宋_GB2312"/>
          <w:sz w:val="24"/>
        </w:rPr>
        <w:t>注：</w:t>
      </w:r>
    </w:p>
    <w:p>
      <w:pPr>
        <w:rPr>
          <w:rFonts w:ascii="仿宋_GB2312" w:hAnsi="仿宋_GB2312" w:eastAsia="仿宋_GB2312" w:cs="仿宋_GB2312"/>
          <w:sz w:val="24"/>
        </w:rPr>
      </w:pPr>
      <w:r>
        <w:rPr>
          <w:rFonts w:hint="eastAsia" w:ascii="仿宋_GB2312" w:hAnsi="仿宋_GB2312" w:eastAsia="仿宋_GB2312" w:cs="仿宋_GB2312"/>
          <w:sz w:val="24"/>
        </w:rPr>
        <w:t>1.中金所数据有限公司受中金所委托对中金所行情经营进行管理，任何单位或个人经营中金所历史数据，须向中金所数据有限公司申请相关经营许可；</w:t>
      </w:r>
    </w:p>
    <w:p>
      <w:pPr>
        <w:rPr>
          <w:rFonts w:ascii="仿宋_GB2312" w:hAnsi="仿宋_GB2312" w:eastAsia="仿宋_GB2312" w:cs="仿宋_GB2312"/>
          <w:sz w:val="24"/>
        </w:rPr>
      </w:pPr>
      <w:r>
        <w:rPr>
          <w:rFonts w:hint="eastAsia" w:ascii="仿宋_GB2312" w:hAnsi="仿宋_GB2312" w:eastAsia="仿宋_GB2312" w:cs="仿宋_GB2312"/>
          <w:sz w:val="24"/>
        </w:rPr>
        <w:t>2.中金所历史数据是自2010年4月16日起至今（不含签约当月）的行情数据，历史数据费用需一次性支付；</w:t>
      </w:r>
    </w:p>
    <w:p>
      <w:pPr>
        <w:rPr>
          <w:rFonts w:ascii="仿宋_GB2312" w:hAnsi="仿宋_GB2312" w:eastAsia="仿宋_GB2312" w:cs="仿宋_GB2312"/>
          <w:sz w:val="24"/>
        </w:rPr>
      </w:pPr>
      <w:r>
        <w:rPr>
          <w:rFonts w:hint="eastAsia" w:ascii="仿宋_GB2312" w:hAnsi="仿宋_GB2312" w:eastAsia="仿宋_GB2312" w:cs="仿宋_GB2312"/>
          <w:sz w:val="24"/>
        </w:rPr>
        <w:t>3.中金所历史数据仅限签约主体内部使用，禁止转发、转售或用作指数编制等衍生用途；</w:t>
      </w:r>
    </w:p>
    <w:p>
      <w:pPr>
        <w:rPr>
          <w:rFonts w:ascii="仿宋_GB2312" w:hAnsi="仿宋_GB2312" w:eastAsia="仿宋_GB2312" w:cs="仿宋_GB2312"/>
          <w:sz w:val="24"/>
        </w:rPr>
      </w:pPr>
      <w:r>
        <w:rPr>
          <w:rFonts w:hint="eastAsia" w:ascii="仿宋_GB2312" w:hAnsi="仿宋_GB2312" w:eastAsia="仿宋_GB2312" w:cs="仿宋_GB2312"/>
          <w:sz w:val="24"/>
        </w:rPr>
        <w:t>4.自许可协议生效之日起，三年以前的中金所历史数据可享</w:t>
      </w:r>
      <w:r>
        <w:rPr>
          <w:rFonts w:hint="eastAsia" w:ascii="仿宋_GB2312" w:hAnsi="仿宋_GB2312" w:eastAsia="仿宋_GB2312" w:cs="仿宋_GB2312"/>
          <w:b/>
          <w:sz w:val="24"/>
        </w:rPr>
        <w:t>八折</w:t>
      </w:r>
      <w:r>
        <w:rPr>
          <w:rFonts w:hint="eastAsia" w:ascii="仿宋_GB2312" w:hAnsi="仿宋_GB2312" w:eastAsia="仿宋_GB2312" w:cs="仿宋_GB2312"/>
          <w:sz w:val="24"/>
        </w:rPr>
        <w:t>优惠。</w:t>
      </w:r>
    </w:p>
    <w:p>
      <w:pPr>
        <w:rPr>
          <w:rFonts w:ascii="仿宋_GB2312" w:hAnsi="仿宋_GB2312" w:eastAsia="仿宋_GB2312" w:cs="仿宋_GB2312"/>
          <w:sz w:val="24"/>
        </w:rPr>
      </w:pPr>
    </w:p>
    <w:p>
      <w:pPr>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大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B4694C"/>
    <w:multiLevelType w:val="multilevel"/>
    <w:tmpl w:val="23B4694C"/>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7334A1A"/>
    <w:multiLevelType w:val="singleLevel"/>
    <w:tmpl w:val="27334A1A"/>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297"/>
    <w:rsid w:val="00073541"/>
    <w:rsid w:val="000C3009"/>
    <w:rsid w:val="000E1BA2"/>
    <w:rsid w:val="000F08BA"/>
    <w:rsid w:val="000F5274"/>
    <w:rsid w:val="00123D16"/>
    <w:rsid w:val="00143AAA"/>
    <w:rsid w:val="00155B45"/>
    <w:rsid w:val="001647A8"/>
    <w:rsid w:val="00263ED8"/>
    <w:rsid w:val="0036301C"/>
    <w:rsid w:val="003C25C0"/>
    <w:rsid w:val="00420AAB"/>
    <w:rsid w:val="00437BBC"/>
    <w:rsid w:val="004778DA"/>
    <w:rsid w:val="004F21B6"/>
    <w:rsid w:val="004F2297"/>
    <w:rsid w:val="00520C03"/>
    <w:rsid w:val="00534D80"/>
    <w:rsid w:val="006333A6"/>
    <w:rsid w:val="0064215D"/>
    <w:rsid w:val="007756CF"/>
    <w:rsid w:val="007E2A20"/>
    <w:rsid w:val="00804A09"/>
    <w:rsid w:val="008344E0"/>
    <w:rsid w:val="00865E8E"/>
    <w:rsid w:val="008A3C72"/>
    <w:rsid w:val="008A511D"/>
    <w:rsid w:val="008B740D"/>
    <w:rsid w:val="00902060"/>
    <w:rsid w:val="00945FF5"/>
    <w:rsid w:val="00957274"/>
    <w:rsid w:val="00A2362F"/>
    <w:rsid w:val="00A44D3F"/>
    <w:rsid w:val="00B118FA"/>
    <w:rsid w:val="00B47770"/>
    <w:rsid w:val="00BE6A6E"/>
    <w:rsid w:val="00BF6B45"/>
    <w:rsid w:val="00C059EA"/>
    <w:rsid w:val="00C47DFF"/>
    <w:rsid w:val="00CB01E3"/>
    <w:rsid w:val="00CB6040"/>
    <w:rsid w:val="00CE786C"/>
    <w:rsid w:val="00D201F6"/>
    <w:rsid w:val="00D61065"/>
    <w:rsid w:val="00E24D02"/>
    <w:rsid w:val="00E54F60"/>
    <w:rsid w:val="00EC0CD3"/>
    <w:rsid w:val="00EE6B9B"/>
    <w:rsid w:val="00F42A9A"/>
    <w:rsid w:val="00F708CA"/>
    <w:rsid w:val="00F87956"/>
    <w:rsid w:val="00FB1818"/>
    <w:rsid w:val="00FC0F98"/>
    <w:rsid w:val="00FF3D8B"/>
    <w:rsid w:val="04D904A2"/>
    <w:rsid w:val="14DE2606"/>
    <w:rsid w:val="2BF20872"/>
    <w:rsid w:val="73FF8A2E"/>
    <w:rsid w:val="7D862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name="footnote reference"/>
    <w:lsdException w:qFormat="1" w:uiPriority="0" w:name="annotation reference"/>
    <w:lsdException w:uiPriority="0" w:name="line number"/>
    <w:lsdException w:uiPriority="0" w:name="page number"/>
    <w:lsdException w:qFormat="1" w:uiPriority="0" w:name="endnote reference"/>
    <w:lsdException w:qFormat="1"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semiHidden/>
    <w:unhideWhenUsed/>
    <w:qFormat/>
    <w:uiPriority w:val="0"/>
    <w:pPr>
      <w:jc w:val="left"/>
    </w:pPr>
  </w:style>
  <w:style w:type="paragraph" w:styleId="3">
    <w:name w:val="endnote text"/>
    <w:basedOn w:val="1"/>
    <w:link w:val="21"/>
    <w:semiHidden/>
    <w:unhideWhenUsed/>
    <w:qFormat/>
    <w:uiPriority w:val="0"/>
    <w:pPr>
      <w:snapToGrid w:val="0"/>
      <w:jc w:val="left"/>
    </w:pPr>
  </w:style>
  <w:style w:type="paragraph" w:styleId="4">
    <w:name w:val="Balloon Text"/>
    <w:basedOn w:val="1"/>
    <w:link w:val="18"/>
    <w:semiHidden/>
    <w:unhideWhenUsed/>
    <w:qFormat/>
    <w:uiPriority w:val="0"/>
    <w:rPr>
      <w:sz w:val="18"/>
      <w:szCs w:val="18"/>
    </w:r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2"/>
    <w:semiHidden/>
    <w:unhideWhenUsed/>
    <w:qFormat/>
    <w:uiPriority w:val="0"/>
    <w:pPr>
      <w:snapToGrid w:val="0"/>
      <w:jc w:val="left"/>
    </w:pPr>
    <w:rPr>
      <w:sz w:val="18"/>
      <w:szCs w:val="18"/>
    </w:rPr>
  </w:style>
  <w:style w:type="paragraph" w:styleId="8">
    <w:name w:val="annotation subject"/>
    <w:basedOn w:val="2"/>
    <w:next w:val="2"/>
    <w:link w:val="20"/>
    <w:semiHidden/>
    <w:unhideWhenUsed/>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ndnote reference"/>
    <w:basedOn w:val="11"/>
    <w:semiHidden/>
    <w:unhideWhenUsed/>
    <w:qFormat/>
    <w:uiPriority w:val="0"/>
    <w:rPr>
      <w:vertAlign w:val="superscript"/>
    </w:rPr>
  </w:style>
  <w:style w:type="character" w:styleId="13">
    <w:name w:val="annotation reference"/>
    <w:basedOn w:val="11"/>
    <w:semiHidden/>
    <w:unhideWhenUsed/>
    <w:qFormat/>
    <w:uiPriority w:val="0"/>
    <w:rPr>
      <w:sz w:val="21"/>
      <w:szCs w:val="21"/>
    </w:rPr>
  </w:style>
  <w:style w:type="character" w:styleId="14">
    <w:name w:val="footnote reference"/>
    <w:basedOn w:val="11"/>
    <w:semiHidden/>
    <w:unhideWhenUsed/>
    <w:qFormat/>
    <w:uiPriority w:val="0"/>
    <w:rPr>
      <w:vertAlign w:val="superscript"/>
    </w:rPr>
  </w:style>
  <w:style w:type="character" w:customStyle="1" w:styleId="15">
    <w:name w:val="页眉 Char"/>
    <w:basedOn w:val="11"/>
    <w:link w:val="6"/>
    <w:qFormat/>
    <w:uiPriority w:val="0"/>
    <w:rPr>
      <w:kern w:val="2"/>
      <w:sz w:val="18"/>
      <w:szCs w:val="18"/>
    </w:rPr>
  </w:style>
  <w:style w:type="character" w:customStyle="1" w:styleId="16">
    <w:name w:val="页脚 Char"/>
    <w:basedOn w:val="11"/>
    <w:link w:val="5"/>
    <w:qFormat/>
    <w:uiPriority w:val="0"/>
    <w:rPr>
      <w:kern w:val="2"/>
      <w:sz w:val="18"/>
      <w:szCs w:val="18"/>
    </w:rPr>
  </w:style>
  <w:style w:type="paragraph" w:styleId="17">
    <w:name w:val="List Paragraph"/>
    <w:basedOn w:val="1"/>
    <w:unhideWhenUsed/>
    <w:qFormat/>
    <w:uiPriority w:val="99"/>
    <w:pPr>
      <w:ind w:firstLine="420" w:firstLineChars="200"/>
    </w:pPr>
  </w:style>
  <w:style w:type="character" w:customStyle="1" w:styleId="18">
    <w:name w:val="批注框文本 Char"/>
    <w:basedOn w:val="11"/>
    <w:link w:val="4"/>
    <w:semiHidden/>
    <w:qFormat/>
    <w:uiPriority w:val="0"/>
    <w:rPr>
      <w:kern w:val="2"/>
      <w:sz w:val="18"/>
      <w:szCs w:val="18"/>
    </w:rPr>
  </w:style>
  <w:style w:type="character" w:customStyle="1" w:styleId="19">
    <w:name w:val="批注文字 Char"/>
    <w:basedOn w:val="11"/>
    <w:link w:val="2"/>
    <w:semiHidden/>
    <w:qFormat/>
    <w:uiPriority w:val="0"/>
    <w:rPr>
      <w:kern w:val="2"/>
      <w:sz w:val="21"/>
      <w:szCs w:val="24"/>
    </w:rPr>
  </w:style>
  <w:style w:type="character" w:customStyle="1" w:styleId="20">
    <w:name w:val="批注主题 Char"/>
    <w:basedOn w:val="19"/>
    <w:link w:val="8"/>
    <w:semiHidden/>
    <w:qFormat/>
    <w:uiPriority w:val="0"/>
    <w:rPr>
      <w:b/>
      <w:bCs/>
      <w:kern w:val="2"/>
      <w:sz w:val="21"/>
      <w:szCs w:val="24"/>
    </w:rPr>
  </w:style>
  <w:style w:type="character" w:customStyle="1" w:styleId="21">
    <w:name w:val="尾注文本 Char"/>
    <w:basedOn w:val="11"/>
    <w:link w:val="3"/>
    <w:semiHidden/>
    <w:qFormat/>
    <w:uiPriority w:val="0"/>
    <w:rPr>
      <w:kern w:val="2"/>
      <w:sz w:val="21"/>
      <w:szCs w:val="24"/>
    </w:rPr>
  </w:style>
  <w:style w:type="character" w:customStyle="1" w:styleId="22">
    <w:name w:val="脚注文本 Char"/>
    <w:basedOn w:val="11"/>
    <w:link w:val="7"/>
    <w:semiHidden/>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2099</Words>
  <Characters>403</Characters>
  <Lines>3</Lines>
  <Paragraphs>4</Paragraphs>
  <TotalTime>407</TotalTime>
  <ScaleCrop>false</ScaleCrop>
  <LinksUpToDate>false</LinksUpToDate>
  <CharactersWithSpaces>2498</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2021-02-10T11:08:00Z</dcterms:created>
  <dc:creator>user</dc:creator>
  <cp:lastModifiedBy>zhangzhen</cp:lastModifiedBy>
  <dcterms:modified xsi:type="dcterms:W3CDTF">2022-12-05T15:14:06Z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